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text" w:horzAnchor="margin" w:tblpXSpec="center" w:tblpY="-277"/>
        <w:tblW w:w="10466" w:type="dxa"/>
        <w:shd w:val="clear" w:color="auto" w:fill="FFFFFF"/>
        <w:tblCellMar>
          <w:top w:w="15" w:type="dxa"/>
          <w:left w:w="15" w:type="dxa"/>
          <w:bottom w:w="15" w:type="dxa"/>
          <w:right w:w="15" w:type="dxa"/>
        </w:tblCellMar>
        <w:tblLook w:val="04A0" w:firstRow="1" w:lastRow="0" w:firstColumn="1" w:lastColumn="0" w:noHBand="0" w:noVBand="1"/>
      </w:tblPr>
      <w:tblGrid>
        <w:gridCol w:w="941"/>
        <w:gridCol w:w="1648"/>
        <w:gridCol w:w="996"/>
        <w:gridCol w:w="1576"/>
        <w:gridCol w:w="1674"/>
        <w:gridCol w:w="1860"/>
        <w:gridCol w:w="1771"/>
      </w:tblGrid>
      <w:tr w:rsidR="002E08FA" w:rsidRPr="002E08FA" w:rsidTr="002E08FA">
        <w:trPr>
          <w:tblHeader/>
        </w:trPr>
        <w:tc>
          <w:tcPr>
            <w:tcW w:w="0" w:type="auto"/>
            <w:shd w:val="clear" w:color="auto" w:fill="FFFFFF"/>
            <w:tcMar>
              <w:top w:w="30" w:type="dxa"/>
              <w:left w:w="30" w:type="dxa"/>
              <w:bottom w:w="30" w:type="dxa"/>
              <w:right w:w="30" w:type="dxa"/>
            </w:tcMar>
            <w:vAlign w:val="center"/>
            <w:hideMark/>
          </w:tcPr>
          <w:p w:rsidR="002E08FA" w:rsidRPr="002E08FA" w:rsidRDefault="002E08FA" w:rsidP="002E08FA">
            <w:pPr>
              <w:rPr>
                <w:sz w:val="15"/>
                <w:szCs w:val="15"/>
                <w:lang w:val="en-GB"/>
              </w:rPr>
            </w:pPr>
            <w:r w:rsidRPr="002E08FA">
              <w:rPr>
                <w:b/>
                <w:bCs/>
                <w:sz w:val="15"/>
                <w:szCs w:val="15"/>
                <w:lang w:val="en-GB"/>
              </w:rPr>
              <w:t>Citation (Author/Year)</w:t>
            </w:r>
          </w:p>
        </w:tc>
        <w:tc>
          <w:tcPr>
            <w:tcW w:w="0" w:type="auto"/>
            <w:shd w:val="clear" w:color="auto" w:fill="FFFFFF"/>
            <w:tcMar>
              <w:top w:w="30" w:type="dxa"/>
              <w:left w:w="30" w:type="dxa"/>
              <w:bottom w:w="30" w:type="dxa"/>
              <w:right w:w="30" w:type="dxa"/>
            </w:tcMar>
            <w:vAlign w:val="center"/>
            <w:hideMark/>
          </w:tcPr>
          <w:p w:rsidR="002E08FA" w:rsidRPr="002E08FA" w:rsidRDefault="002E08FA" w:rsidP="002E08FA">
            <w:pPr>
              <w:rPr>
                <w:sz w:val="15"/>
                <w:szCs w:val="15"/>
                <w:lang w:val="en-GB"/>
              </w:rPr>
            </w:pPr>
            <w:r w:rsidRPr="002E08FA">
              <w:rPr>
                <w:b/>
                <w:bCs/>
                <w:sz w:val="15"/>
                <w:szCs w:val="15"/>
                <w:lang w:val="en-GB"/>
              </w:rPr>
              <w:t>Purpose/PICO Alignment</w:t>
            </w:r>
          </w:p>
        </w:tc>
        <w:tc>
          <w:tcPr>
            <w:tcW w:w="0" w:type="auto"/>
            <w:shd w:val="clear" w:color="auto" w:fill="FFFFFF"/>
            <w:tcMar>
              <w:top w:w="30" w:type="dxa"/>
              <w:left w:w="30" w:type="dxa"/>
              <w:bottom w:w="30" w:type="dxa"/>
              <w:right w:w="30" w:type="dxa"/>
            </w:tcMar>
            <w:vAlign w:val="center"/>
            <w:hideMark/>
          </w:tcPr>
          <w:p w:rsidR="002E08FA" w:rsidRPr="002E08FA" w:rsidRDefault="002E08FA" w:rsidP="002E08FA">
            <w:pPr>
              <w:rPr>
                <w:sz w:val="15"/>
                <w:szCs w:val="15"/>
                <w:lang w:val="en-GB"/>
              </w:rPr>
            </w:pPr>
            <w:r w:rsidRPr="002E08FA">
              <w:rPr>
                <w:b/>
                <w:bCs/>
                <w:sz w:val="15"/>
                <w:szCs w:val="15"/>
                <w:lang w:val="en-GB"/>
              </w:rPr>
              <w:t>Design/</w:t>
            </w:r>
          </w:p>
          <w:p w:rsidR="002E08FA" w:rsidRPr="002E08FA" w:rsidRDefault="002E08FA" w:rsidP="002E08FA">
            <w:pPr>
              <w:rPr>
                <w:sz w:val="15"/>
                <w:szCs w:val="15"/>
                <w:lang w:val="en-GB"/>
              </w:rPr>
            </w:pPr>
            <w:r w:rsidRPr="002E08FA">
              <w:rPr>
                <w:b/>
                <w:bCs/>
                <w:sz w:val="15"/>
                <w:szCs w:val="15"/>
                <w:lang w:val="en-GB"/>
              </w:rPr>
              <w:t>Level of Evidence</w:t>
            </w:r>
          </w:p>
        </w:tc>
        <w:tc>
          <w:tcPr>
            <w:tcW w:w="0" w:type="auto"/>
            <w:shd w:val="clear" w:color="auto" w:fill="FFFFFF"/>
            <w:tcMar>
              <w:top w:w="30" w:type="dxa"/>
              <w:left w:w="30" w:type="dxa"/>
              <w:bottom w:w="30" w:type="dxa"/>
              <w:right w:w="30" w:type="dxa"/>
            </w:tcMar>
            <w:vAlign w:val="center"/>
            <w:hideMark/>
          </w:tcPr>
          <w:p w:rsidR="002E08FA" w:rsidRPr="002E08FA" w:rsidRDefault="002E08FA" w:rsidP="002E08FA">
            <w:pPr>
              <w:rPr>
                <w:sz w:val="15"/>
                <w:szCs w:val="15"/>
                <w:lang w:val="en-GB"/>
              </w:rPr>
            </w:pPr>
            <w:r w:rsidRPr="002E08FA">
              <w:rPr>
                <w:b/>
                <w:bCs/>
                <w:sz w:val="15"/>
                <w:szCs w:val="15"/>
                <w:lang w:val="en-GB"/>
              </w:rPr>
              <w:t>Sample</w:t>
            </w:r>
          </w:p>
          <w:p w:rsidR="002E08FA" w:rsidRPr="002E08FA" w:rsidRDefault="002E08FA" w:rsidP="002E08FA">
            <w:pPr>
              <w:rPr>
                <w:sz w:val="15"/>
                <w:szCs w:val="15"/>
                <w:lang w:val="en-GB"/>
              </w:rPr>
            </w:pPr>
            <w:r w:rsidRPr="002E08FA">
              <w:rPr>
                <w:b/>
                <w:bCs/>
                <w:sz w:val="15"/>
                <w:szCs w:val="15"/>
                <w:lang w:val="en-GB"/>
              </w:rPr>
              <w:t>&amp; Setting</w:t>
            </w:r>
          </w:p>
        </w:tc>
        <w:tc>
          <w:tcPr>
            <w:tcW w:w="0" w:type="auto"/>
            <w:shd w:val="clear" w:color="auto" w:fill="FFFFFF"/>
            <w:tcMar>
              <w:top w:w="30" w:type="dxa"/>
              <w:left w:w="30" w:type="dxa"/>
              <w:bottom w:w="30" w:type="dxa"/>
              <w:right w:w="30" w:type="dxa"/>
            </w:tcMar>
            <w:vAlign w:val="center"/>
            <w:hideMark/>
          </w:tcPr>
          <w:p w:rsidR="002E08FA" w:rsidRPr="002E08FA" w:rsidRDefault="002E08FA" w:rsidP="002E08FA">
            <w:pPr>
              <w:rPr>
                <w:sz w:val="15"/>
                <w:szCs w:val="15"/>
                <w:lang w:val="en-GB"/>
              </w:rPr>
            </w:pPr>
            <w:r w:rsidRPr="002E08FA">
              <w:rPr>
                <w:b/>
                <w:bCs/>
                <w:sz w:val="15"/>
                <w:szCs w:val="15"/>
                <w:lang w:val="en-GB"/>
              </w:rPr>
              <w:t>Intervention</w:t>
            </w:r>
          </w:p>
          <w:p w:rsidR="002E08FA" w:rsidRPr="002E08FA" w:rsidRDefault="002E08FA" w:rsidP="002E08FA">
            <w:pPr>
              <w:rPr>
                <w:sz w:val="15"/>
                <w:szCs w:val="15"/>
                <w:lang w:val="en-GB"/>
              </w:rPr>
            </w:pPr>
            <w:r w:rsidRPr="002E08FA">
              <w:rPr>
                <w:b/>
                <w:bCs/>
                <w:sz w:val="15"/>
                <w:szCs w:val="15"/>
                <w:lang w:val="en-GB"/>
              </w:rPr>
              <w:t>/Exposure</w:t>
            </w:r>
          </w:p>
          <w:p w:rsidR="002E08FA" w:rsidRPr="002E08FA" w:rsidRDefault="002E08FA" w:rsidP="002E08FA">
            <w:pPr>
              <w:rPr>
                <w:sz w:val="15"/>
                <w:szCs w:val="15"/>
                <w:lang w:val="en-GB"/>
              </w:rPr>
            </w:pPr>
            <w:r w:rsidRPr="002E08FA">
              <w:rPr>
                <w:b/>
                <w:bCs/>
                <w:sz w:val="15"/>
                <w:szCs w:val="15"/>
                <w:lang w:val="en-GB"/>
              </w:rPr>
              <w:t>Comparison</w:t>
            </w:r>
          </w:p>
        </w:tc>
        <w:tc>
          <w:tcPr>
            <w:tcW w:w="0" w:type="auto"/>
            <w:shd w:val="clear" w:color="auto" w:fill="FFFFFF"/>
            <w:tcMar>
              <w:top w:w="30" w:type="dxa"/>
              <w:left w:w="30" w:type="dxa"/>
              <w:bottom w:w="30" w:type="dxa"/>
              <w:right w:w="30" w:type="dxa"/>
            </w:tcMar>
            <w:vAlign w:val="center"/>
            <w:hideMark/>
          </w:tcPr>
          <w:p w:rsidR="002E08FA" w:rsidRPr="002E08FA" w:rsidRDefault="002E08FA" w:rsidP="002E08FA">
            <w:pPr>
              <w:rPr>
                <w:sz w:val="15"/>
                <w:szCs w:val="15"/>
                <w:lang w:val="en-GB"/>
              </w:rPr>
            </w:pPr>
            <w:r w:rsidRPr="002E08FA">
              <w:rPr>
                <w:b/>
                <w:bCs/>
                <w:sz w:val="15"/>
                <w:szCs w:val="15"/>
                <w:lang w:val="en-GB"/>
              </w:rPr>
              <w:t>Key Findings</w:t>
            </w:r>
          </w:p>
        </w:tc>
        <w:tc>
          <w:tcPr>
            <w:tcW w:w="0" w:type="auto"/>
            <w:shd w:val="clear" w:color="auto" w:fill="FFFFFF"/>
            <w:tcMar>
              <w:top w:w="30" w:type="dxa"/>
              <w:left w:w="30" w:type="dxa"/>
              <w:bottom w:w="30" w:type="dxa"/>
              <w:right w:w="30" w:type="dxa"/>
            </w:tcMar>
            <w:vAlign w:val="center"/>
            <w:hideMark/>
          </w:tcPr>
          <w:p w:rsidR="002E08FA" w:rsidRPr="002E08FA" w:rsidRDefault="002E08FA" w:rsidP="002E08FA">
            <w:pPr>
              <w:rPr>
                <w:sz w:val="15"/>
                <w:szCs w:val="15"/>
                <w:lang w:val="en-GB"/>
              </w:rPr>
            </w:pPr>
            <w:r w:rsidRPr="002E08FA">
              <w:rPr>
                <w:b/>
                <w:bCs/>
                <w:sz w:val="15"/>
                <w:szCs w:val="15"/>
                <w:lang w:val="en-GB"/>
              </w:rPr>
              <w:t>Evidence Limitations/Bias Concerns</w:t>
            </w:r>
          </w:p>
        </w:tc>
      </w:tr>
      <w:tr w:rsidR="002E08FA" w:rsidRPr="002E08FA" w:rsidTr="002E08FA">
        <w:tc>
          <w:tcPr>
            <w:tcW w:w="0" w:type="auto"/>
            <w:shd w:val="clear" w:color="auto" w:fill="FFFFFF"/>
            <w:tcMar>
              <w:top w:w="30" w:type="dxa"/>
              <w:left w:w="30" w:type="dxa"/>
              <w:bottom w:w="30" w:type="dxa"/>
              <w:right w:w="30" w:type="dxa"/>
            </w:tcMar>
            <w:vAlign w:val="center"/>
            <w:hideMark/>
          </w:tcPr>
          <w:p w:rsidR="002E08FA" w:rsidRPr="002E08FA" w:rsidRDefault="002E08FA" w:rsidP="002E08FA">
            <w:pPr>
              <w:rPr>
                <w:sz w:val="15"/>
                <w:szCs w:val="15"/>
                <w:lang w:val="en-GB"/>
              </w:rPr>
            </w:pPr>
            <w:r w:rsidRPr="002E08FA">
              <w:rPr>
                <w:sz w:val="15"/>
                <w:szCs w:val="15"/>
                <w:lang w:val="en-GB"/>
              </w:rPr>
              <w:t>Hawkins, M. 2023</w:t>
            </w:r>
          </w:p>
        </w:tc>
        <w:tc>
          <w:tcPr>
            <w:tcW w:w="0" w:type="auto"/>
            <w:shd w:val="clear" w:color="auto" w:fill="FFFFFF"/>
            <w:tcMar>
              <w:top w:w="30" w:type="dxa"/>
              <w:left w:w="30" w:type="dxa"/>
              <w:bottom w:w="30" w:type="dxa"/>
              <w:right w:w="30" w:type="dxa"/>
            </w:tcMar>
            <w:vAlign w:val="center"/>
            <w:hideMark/>
          </w:tcPr>
          <w:p w:rsidR="002E08FA" w:rsidRPr="002E08FA" w:rsidRDefault="002E08FA" w:rsidP="002E08FA">
            <w:pPr>
              <w:rPr>
                <w:sz w:val="15"/>
                <w:szCs w:val="15"/>
                <w:lang w:val="en-GB"/>
              </w:rPr>
            </w:pPr>
            <w:r w:rsidRPr="002E08FA">
              <w:rPr>
                <w:sz w:val="15"/>
                <w:szCs w:val="15"/>
                <w:lang w:val="en-GB"/>
              </w:rPr>
              <w:t>Examined whether a structured QI intervention could increase routine PHQ-9 monitoring among patients with depression in an outpatient psychiatric clinic. Significant alignment with the PICOT’s outpatient setting, nurse-led/structured surveillance concept, serial PHQ-9 use, and process-adherence outcome.</w:t>
            </w:r>
          </w:p>
        </w:tc>
        <w:tc>
          <w:tcPr>
            <w:tcW w:w="0" w:type="auto"/>
            <w:shd w:val="clear" w:color="auto" w:fill="FFFFFF"/>
            <w:tcMar>
              <w:top w:w="30" w:type="dxa"/>
              <w:left w:w="30" w:type="dxa"/>
              <w:bottom w:w="30" w:type="dxa"/>
              <w:right w:w="30" w:type="dxa"/>
            </w:tcMar>
            <w:vAlign w:val="center"/>
            <w:hideMark/>
          </w:tcPr>
          <w:p w:rsidR="002E08FA" w:rsidRPr="002E08FA" w:rsidRDefault="002E08FA" w:rsidP="002E08FA">
            <w:pPr>
              <w:rPr>
                <w:sz w:val="15"/>
                <w:szCs w:val="15"/>
                <w:lang w:val="en-GB"/>
              </w:rPr>
            </w:pPr>
            <w:r w:rsidRPr="002E08FA">
              <w:rPr>
                <w:sz w:val="15"/>
                <w:szCs w:val="15"/>
                <w:lang w:val="en-GB"/>
              </w:rPr>
              <w:t>Uncontrolled before-and-after QI study; quasi-experimental design. Level II</w:t>
            </w:r>
          </w:p>
        </w:tc>
        <w:tc>
          <w:tcPr>
            <w:tcW w:w="0" w:type="auto"/>
            <w:shd w:val="clear" w:color="auto" w:fill="FFFFFF"/>
            <w:tcMar>
              <w:top w:w="30" w:type="dxa"/>
              <w:left w:w="30" w:type="dxa"/>
              <w:bottom w:w="30" w:type="dxa"/>
              <w:right w:w="30" w:type="dxa"/>
            </w:tcMar>
            <w:vAlign w:val="center"/>
            <w:hideMark/>
          </w:tcPr>
          <w:p w:rsidR="002E08FA" w:rsidRPr="002E08FA" w:rsidRDefault="002E08FA" w:rsidP="002E08FA">
            <w:pPr>
              <w:rPr>
                <w:sz w:val="15"/>
                <w:szCs w:val="15"/>
                <w:lang w:val="en-GB"/>
              </w:rPr>
            </w:pPr>
            <w:r w:rsidRPr="002E08FA">
              <w:rPr>
                <w:sz w:val="15"/>
                <w:szCs w:val="15"/>
                <w:lang w:val="en-GB"/>
              </w:rPr>
              <w:t>N=230 patients with depression in an outpatient psychiatry clinic. Baseline monitoring was assessed before implementation and compared with monitoring during the intervention period.</w:t>
            </w:r>
          </w:p>
        </w:tc>
        <w:tc>
          <w:tcPr>
            <w:tcW w:w="0" w:type="auto"/>
            <w:shd w:val="clear" w:color="auto" w:fill="FFFFFF"/>
            <w:tcMar>
              <w:top w:w="30" w:type="dxa"/>
              <w:left w:w="30" w:type="dxa"/>
              <w:bottom w:w="30" w:type="dxa"/>
              <w:right w:w="30" w:type="dxa"/>
            </w:tcMar>
            <w:vAlign w:val="center"/>
            <w:hideMark/>
          </w:tcPr>
          <w:p w:rsidR="002E08FA" w:rsidRPr="002E08FA" w:rsidRDefault="002E08FA" w:rsidP="002E08FA">
            <w:pPr>
              <w:rPr>
                <w:sz w:val="15"/>
                <w:szCs w:val="15"/>
                <w:lang w:val="en-GB"/>
              </w:rPr>
            </w:pPr>
            <w:r w:rsidRPr="002E08FA">
              <w:rPr>
                <w:sz w:val="15"/>
                <w:szCs w:val="15"/>
                <w:lang w:val="en-GB"/>
              </w:rPr>
              <w:t>Intervention: physician education regarding measurement-based care plus visual chart reminders identifying patients with depression. Comparison</w:t>
            </w:r>
            <w:r w:rsidRPr="002E08FA">
              <w:rPr>
                <w:b/>
                <w:bCs/>
                <w:sz w:val="15"/>
                <w:szCs w:val="15"/>
                <w:lang w:val="en-GB"/>
              </w:rPr>
              <w:t>:</w:t>
            </w:r>
            <w:r w:rsidRPr="002E08FA">
              <w:rPr>
                <w:sz w:val="15"/>
                <w:szCs w:val="15"/>
                <w:lang w:val="en-GB"/>
              </w:rPr>
              <w:t> usual practice before implementation</w:t>
            </w:r>
          </w:p>
        </w:tc>
        <w:tc>
          <w:tcPr>
            <w:tcW w:w="0" w:type="auto"/>
            <w:shd w:val="clear" w:color="auto" w:fill="FFFFFF"/>
            <w:tcMar>
              <w:top w:w="30" w:type="dxa"/>
              <w:left w:w="30" w:type="dxa"/>
              <w:bottom w:w="30" w:type="dxa"/>
              <w:right w:w="30" w:type="dxa"/>
            </w:tcMar>
            <w:vAlign w:val="center"/>
            <w:hideMark/>
          </w:tcPr>
          <w:p w:rsidR="002E08FA" w:rsidRPr="002E08FA" w:rsidRDefault="002E08FA" w:rsidP="002E08FA">
            <w:pPr>
              <w:rPr>
                <w:sz w:val="15"/>
                <w:szCs w:val="15"/>
                <w:lang w:val="en-GB"/>
              </w:rPr>
            </w:pPr>
            <w:r w:rsidRPr="002E08FA">
              <w:rPr>
                <w:sz w:val="15"/>
                <w:szCs w:val="15"/>
                <w:lang w:val="en-GB"/>
              </w:rPr>
              <w:t>Baseline objective PHQ-9 monitoring was 5.1%. Following implementation, the average rate increased to 51.3% during the intervention period. The project demonstrated that education and workflow reminders can substantially increase standardized depression monitoring in outpatient psychiatric practice.</w:t>
            </w:r>
          </w:p>
        </w:tc>
        <w:tc>
          <w:tcPr>
            <w:tcW w:w="0" w:type="auto"/>
            <w:shd w:val="clear" w:color="auto" w:fill="FFFFFF"/>
            <w:tcMar>
              <w:top w:w="30" w:type="dxa"/>
              <w:left w:w="30" w:type="dxa"/>
              <w:bottom w:w="30" w:type="dxa"/>
              <w:right w:w="30" w:type="dxa"/>
            </w:tcMar>
            <w:vAlign w:val="center"/>
            <w:hideMark/>
          </w:tcPr>
          <w:p w:rsidR="002E08FA" w:rsidRPr="002E08FA" w:rsidRDefault="002E08FA" w:rsidP="002E08FA">
            <w:pPr>
              <w:rPr>
                <w:sz w:val="15"/>
                <w:szCs w:val="15"/>
                <w:lang w:val="en-GB"/>
              </w:rPr>
            </w:pPr>
            <w:r w:rsidRPr="002E08FA">
              <w:rPr>
                <w:sz w:val="15"/>
                <w:szCs w:val="15"/>
                <w:lang w:val="en-GB"/>
              </w:rPr>
              <w:t>No randomization or concurrent control group; single clinical setting; potential secular and Hawthorne effects; improvement in PHQ-9 completion did not establish that increased monitoring caused better depression outcomes. The authors specifically noted that future research should determine whether greater PHQ-9 use improves clinical outcomes.</w:t>
            </w:r>
          </w:p>
        </w:tc>
      </w:tr>
      <w:tr w:rsidR="002E08FA" w:rsidRPr="002E08FA" w:rsidTr="002E08FA">
        <w:tc>
          <w:tcPr>
            <w:tcW w:w="0" w:type="auto"/>
            <w:shd w:val="clear" w:color="auto" w:fill="FFFFFF"/>
            <w:tcMar>
              <w:top w:w="30" w:type="dxa"/>
              <w:left w:w="30" w:type="dxa"/>
              <w:bottom w:w="30" w:type="dxa"/>
              <w:right w:w="30" w:type="dxa"/>
            </w:tcMar>
            <w:vAlign w:val="center"/>
            <w:hideMark/>
          </w:tcPr>
          <w:p w:rsidR="002E08FA" w:rsidRPr="002E08FA" w:rsidRDefault="002E08FA" w:rsidP="002E08FA">
            <w:pPr>
              <w:rPr>
                <w:sz w:val="15"/>
                <w:szCs w:val="15"/>
                <w:lang w:val="en-GB"/>
              </w:rPr>
            </w:pPr>
            <w:proofErr w:type="spellStart"/>
            <w:r w:rsidRPr="002E08FA">
              <w:rPr>
                <w:sz w:val="15"/>
                <w:szCs w:val="15"/>
                <w:lang w:val="en-GB"/>
              </w:rPr>
              <w:t>Bulatova</w:t>
            </w:r>
            <w:proofErr w:type="spellEnd"/>
            <w:r w:rsidRPr="002E08FA">
              <w:rPr>
                <w:sz w:val="15"/>
                <w:szCs w:val="15"/>
                <w:lang w:val="en-GB"/>
              </w:rPr>
              <w:t xml:space="preserve"> et al., 2021</w:t>
            </w:r>
          </w:p>
        </w:tc>
        <w:tc>
          <w:tcPr>
            <w:tcW w:w="0" w:type="auto"/>
            <w:shd w:val="clear" w:color="auto" w:fill="FFFFFF"/>
            <w:tcMar>
              <w:top w:w="30" w:type="dxa"/>
              <w:left w:w="30" w:type="dxa"/>
              <w:bottom w:w="30" w:type="dxa"/>
              <w:right w:w="30" w:type="dxa"/>
            </w:tcMar>
            <w:vAlign w:val="center"/>
            <w:hideMark/>
          </w:tcPr>
          <w:p w:rsidR="002E08FA" w:rsidRPr="002E08FA" w:rsidRDefault="002E08FA" w:rsidP="002E08FA">
            <w:pPr>
              <w:rPr>
                <w:sz w:val="15"/>
                <w:szCs w:val="15"/>
                <w:lang w:val="en-GB"/>
              </w:rPr>
            </w:pPr>
            <w:r w:rsidRPr="002E08FA">
              <w:rPr>
                <w:sz w:val="15"/>
                <w:szCs w:val="15"/>
                <w:lang w:val="en-GB"/>
              </w:rPr>
              <w:t>Examined the effect of psychotropic medications and combinations on QTc duration and the prevalence of prolonged QTc in psychiatric outpatients. Strong PICOT alignment because the study includes adult psychiatric outpatients; citalopram exposure is directly relevant to citalopram-associated QTc risk. ECG/QTc assessment, MDD, and QTc risk factors.</w:t>
            </w:r>
          </w:p>
        </w:tc>
        <w:tc>
          <w:tcPr>
            <w:tcW w:w="0" w:type="auto"/>
            <w:shd w:val="clear" w:color="auto" w:fill="FFFFFF"/>
            <w:tcMar>
              <w:top w:w="30" w:type="dxa"/>
              <w:left w:w="30" w:type="dxa"/>
              <w:bottom w:w="30" w:type="dxa"/>
              <w:right w:w="30" w:type="dxa"/>
            </w:tcMar>
            <w:vAlign w:val="center"/>
            <w:hideMark/>
          </w:tcPr>
          <w:p w:rsidR="002E08FA" w:rsidRPr="002E08FA" w:rsidRDefault="002E08FA" w:rsidP="002E08FA">
            <w:pPr>
              <w:rPr>
                <w:sz w:val="15"/>
                <w:szCs w:val="15"/>
                <w:lang w:val="en-GB"/>
              </w:rPr>
            </w:pPr>
            <w:r w:rsidRPr="002E08FA">
              <w:rPr>
                <w:sz w:val="15"/>
                <w:szCs w:val="15"/>
                <w:lang w:val="en-GB"/>
              </w:rPr>
              <w:t>Cross-sectional observational study; Level III evidence.</w:t>
            </w:r>
          </w:p>
        </w:tc>
        <w:tc>
          <w:tcPr>
            <w:tcW w:w="0" w:type="auto"/>
            <w:shd w:val="clear" w:color="auto" w:fill="FFFFFF"/>
            <w:tcMar>
              <w:top w:w="30" w:type="dxa"/>
              <w:left w:w="30" w:type="dxa"/>
              <w:bottom w:w="30" w:type="dxa"/>
              <w:right w:w="30" w:type="dxa"/>
            </w:tcMar>
            <w:vAlign w:val="center"/>
            <w:hideMark/>
          </w:tcPr>
          <w:p w:rsidR="002E08FA" w:rsidRPr="002E08FA" w:rsidRDefault="002E08FA" w:rsidP="002E08FA">
            <w:pPr>
              <w:rPr>
                <w:sz w:val="15"/>
                <w:szCs w:val="15"/>
                <w:lang w:val="en-GB"/>
              </w:rPr>
            </w:pPr>
            <w:r w:rsidRPr="002E08FA">
              <w:rPr>
                <w:sz w:val="15"/>
                <w:szCs w:val="15"/>
                <w:lang w:val="en-GB"/>
              </w:rPr>
              <w:t>N=307 adult psychiatric outpatients at Jordan University Hospital. Mean age 36.3 years; 54.1% women. MDD accounted for 88 patients (28.7%). Citalopram was the most frequently prescribed SSRI, prescribed to 118 patients (38.4%).</w:t>
            </w:r>
          </w:p>
        </w:tc>
        <w:tc>
          <w:tcPr>
            <w:tcW w:w="0" w:type="auto"/>
            <w:shd w:val="clear" w:color="auto" w:fill="FFFFFF"/>
            <w:tcMar>
              <w:top w:w="30" w:type="dxa"/>
              <w:left w:w="30" w:type="dxa"/>
              <w:bottom w:w="30" w:type="dxa"/>
              <w:right w:w="30" w:type="dxa"/>
            </w:tcMar>
            <w:vAlign w:val="center"/>
            <w:hideMark/>
          </w:tcPr>
          <w:p w:rsidR="002E08FA" w:rsidRPr="002E08FA" w:rsidRDefault="002E08FA" w:rsidP="002E08FA">
            <w:pPr>
              <w:rPr>
                <w:sz w:val="15"/>
                <w:szCs w:val="15"/>
                <w:lang w:val="en-GB"/>
              </w:rPr>
            </w:pPr>
            <w:r w:rsidRPr="002E08FA">
              <w:rPr>
                <w:sz w:val="15"/>
                <w:szCs w:val="15"/>
                <w:lang w:val="en-GB"/>
              </w:rPr>
              <w:t>Exposure: psychotropic medications, including citalopram, SSRIs, TCAs, antipsychotics, and psychotropic polytherapy. Comparison: patients receiving versus not receiving specific medication classes or citalopram; monotherapy versus polytherapy. ECG-derived QTc values were compared between groups.</w:t>
            </w:r>
          </w:p>
        </w:tc>
        <w:tc>
          <w:tcPr>
            <w:tcW w:w="0" w:type="auto"/>
            <w:shd w:val="clear" w:color="auto" w:fill="FFFFFF"/>
            <w:tcMar>
              <w:top w:w="30" w:type="dxa"/>
              <w:left w:w="30" w:type="dxa"/>
              <w:bottom w:w="30" w:type="dxa"/>
              <w:right w:w="30" w:type="dxa"/>
            </w:tcMar>
            <w:vAlign w:val="center"/>
            <w:hideMark/>
          </w:tcPr>
          <w:p w:rsidR="002E08FA" w:rsidRPr="002E08FA" w:rsidRDefault="002E08FA" w:rsidP="002E08FA">
            <w:pPr>
              <w:rPr>
                <w:sz w:val="15"/>
                <w:szCs w:val="15"/>
                <w:lang w:val="en-GB"/>
              </w:rPr>
            </w:pPr>
            <w:r w:rsidRPr="002E08FA">
              <w:rPr>
                <w:sz w:val="15"/>
                <w:szCs w:val="15"/>
                <w:lang w:val="en-GB"/>
              </w:rPr>
              <w:t xml:space="preserve">Patients receiving citalopram had QTc intervals 5.1 </w:t>
            </w:r>
            <w:proofErr w:type="spellStart"/>
            <w:r w:rsidRPr="002E08FA">
              <w:rPr>
                <w:sz w:val="15"/>
                <w:szCs w:val="15"/>
                <w:lang w:val="en-GB"/>
              </w:rPr>
              <w:t>ms</w:t>
            </w:r>
            <w:proofErr w:type="spellEnd"/>
            <w:r w:rsidRPr="002E08FA">
              <w:rPr>
                <w:sz w:val="15"/>
                <w:szCs w:val="15"/>
                <w:lang w:val="en-GB"/>
              </w:rPr>
              <w:t xml:space="preserve"> longer than patients not receiving citalopram (p = .044). SSRIs overall were also associated with longer QTc (p = .011). Four patients had prolonged QTc using the combined correction method; all had at least one additional QTc risk factor, and all were receiving an SSRI. Polytherapy was associated with QTc approximately 8 </w:t>
            </w:r>
            <w:proofErr w:type="spellStart"/>
            <w:r w:rsidRPr="002E08FA">
              <w:rPr>
                <w:sz w:val="15"/>
                <w:szCs w:val="15"/>
                <w:lang w:val="en-GB"/>
              </w:rPr>
              <w:t>ms</w:t>
            </w:r>
            <w:proofErr w:type="spellEnd"/>
            <w:r w:rsidRPr="002E08FA">
              <w:rPr>
                <w:sz w:val="15"/>
                <w:szCs w:val="15"/>
                <w:lang w:val="en-GB"/>
              </w:rPr>
              <w:t xml:space="preserve"> longer than monotherapy (p = .005).</w:t>
            </w:r>
          </w:p>
        </w:tc>
        <w:tc>
          <w:tcPr>
            <w:tcW w:w="0" w:type="auto"/>
            <w:shd w:val="clear" w:color="auto" w:fill="FFFFFF"/>
            <w:tcMar>
              <w:top w:w="30" w:type="dxa"/>
              <w:left w:w="30" w:type="dxa"/>
              <w:bottom w:w="30" w:type="dxa"/>
              <w:right w:w="30" w:type="dxa"/>
            </w:tcMar>
            <w:vAlign w:val="center"/>
            <w:hideMark/>
          </w:tcPr>
          <w:p w:rsidR="002E08FA" w:rsidRPr="002E08FA" w:rsidRDefault="002E08FA" w:rsidP="002E08FA">
            <w:pPr>
              <w:rPr>
                <w:sz w:val="15"/>
                <w:szCs w:val="15"/>
                <w:lang w:val="en-GB"/>
              </w:rPr>
            </w:pPr>
            <w:r w:rsidRPr="002E08FA">
              <w:rPr>
                <w:sz w:val="15"/>
                <w:szCs w:val="15"/>
                <w:lang w:val="en-GB"/>
              </w:rPr>
              <w:t>Cross-sectional design prevents establishing causality or determining baseline QTc before medication exposure. The study did not evaluate electrolytes or renal/hepatic dysfunction. Some medication subgroups were small. Different QTc correction formulas produced different estimates, introducing measurement variability. Findings came from one Jordanian outpatient clinic, limiting generalizability to U.S. outpatient psychiatry.</w:t>
            </w:r>
          </w:p>
        </w:tc>
      </w:tr>
      <w:tr w:rsidR="002E08FA" w:rsidRPr="002E08FA" w:rsidTr="002E08FA">
        <w:tc>
          <w:tcPr>
            <w:tcW w:w="0" w:type="auto"/>
            <w:shd w:val="clear" w:color="auto" w:fill="FFFFFF"/>
            <w:tcMar>
              <w:top w:w="30" w:type="dxa"/>
              <w:left w:w="30" w:type="dxa"/>
              <w:bottom w:w="30" w:type="dxa"/>
              <w:right w:w="30" w:type="dxa"/>
            </w:tcMar>
            <w:vAlign w:val="center"/>
            <w:hideMark/>
          </w:tcPr>
          <w:p w:rsidR="002E08FA" w:rsidRPr="002E08FA" w:rsidRDefault="002E08FA" w:rsidP="002E08FA">
            <w:pPr>
              <w:rPr>
                <w:sz w:val="15"/>
                <w:szCs w:val="15"/>
                <w:lang w:val="en-GB"/>
              </w:rPr>
            </w:pPr>
            <w:r w:rsidRPr="002E08FA">
              <w:rPr>
                <w:sz w:val="15"/>
                <w:szCs w:val="15"/>
                <w:lang w:val="en-GB"/>
              </w:rPr>
              <w:t>Lowe et al., 2024</w:t>
            </w:r>
          </w:p>
        </w:tc>
        <w:tc>
          <w:tcPr>
            <w:tcW w:w="0" w:type="auto"/>
            <w:shd w:val="clear" w:color="auto" w:fill="FFFFFF"/>
            <w:tcMar>
              <w:top w:w="30" w:type="dxa"/>
              <w:left w:w="30" w:type="dxa"/>
              <w:bottom w:w="30" w:type="dxa"/>
              <w:right w:w="30" w:type="dxa"/>
            </w:tcMar>
            <w:vAlign w:val="center"/>
            <w:hideMark/>
          </w:tcPr>
          <w:p w:rsidR="002E08FA" w:rsidRPr="002E08FA" w:rsidRDefault="002E08FA" w:rsidP="002E08FA">
            <w:pPr>
              <w:rPr>
                <w:sz w:val="15"/>
                <w:szCs w:val="15"/>
                <w:lang w:val="en-GB"/>
              </w:rPr>
            </w:pPr>
            <w:r w:rsidRPr="002E08FA">
              <w:rPr>
                <w:sz w:val="15"/>
                <w:szCs w:val="15"/>
                <w:lang w:val="en-GB"/>
              </w:rPr>
              <w:t>Evaluated how often clinicians monitored or addressed modifiable QTc-prolongation risk when prescribing QTc-prolonging medications in ambulatory care. Strong alignment with the PICOT because it addresses adult outpatients, QTc-risk factors, ECG monitoring, and adherence to recommended surveillance. Citalopram was one of the medications studied.</w:t>
            </w:r>
          </w:p>
        </w:tc>
        <w:tc>
          <w:tcPr>
            <w:tcW w:w="0" w:type="auto"/>
            <w:shd w:val="clear" w:color="auto" w:fill="FFFFFF"/>
            <w:tcMar>
              <w:top w:w="30" w:type="dxa"/>
              <w:left w:w="30" w:type="dxa"/>
              <w:bottom w:w="30" w:type="dxa"/>
              <w:right w:w="30" w:type="dxa"/>
            </w:tcMar>
            <w:vAlign w:val="center"/>
            <w:hideMark/>
          </w:tcPr>
          <w:p w:rsidR="002E08FA" w:rsidRPr="002E08FA" w:rsidRDefault="002E08FA" w:rsidP="002E08FA">
            <w:pPr>
              <w:rPr>
                <w:sz w:val="15"/>
                <w:szCs w:val="15"/>
                <w:lang w:val="en-GB"/>
              </w:rPr>
            </w:pPr>
            <w:r w:rsidRPr="002E08FA">
              <w:rPr>
                <w:sz w:val="15"/>
                <w:szCs w:val="15"/>
                <w:lang w:val="en-GB"/>
              </w:rPr>
              <w:t>Retrospective cross-sectional observational study; Level III evidence.</w:t>
            </w:r>
          </w:p>
        </w:tc>
        <w:tc>
          <w:tcPr>
            <w:tcW w:w="0" w:type="auto"/>
            <w:shd w:val="clear" w:color="auto" w:fill="FFFFFF"/>
            <w:tcMar>
              <w:top w:w="30" w:type="dxa"/>
              <w:left w:w="30" w:type="dxa"/>
              <w:bottom w:w="30" w:type="dxa"/>
              <w:right w:w="30" w:type="dxa"/>
            </w:tcMar>
            <w:vAlign w:val="center"/>
            <w:hideMark/>
          </w:tcPr>
          <w:p w:rsidR="002E08FA" w:rsidRPr="002E08FA" w:rsidRDefault="002E08FA" w:rsidP="002E08FA">
            <w:pPr>
              <w:rPr>
                <w:sz w:val="15"/>
                <w:szCs w:val="15"/>
                <w:lang w:val="en-GB"/>
              </w:rPr>
            </w:pPr>
            <w:r w:rsidRPr="002E08FA">
              <w:rPr>
                <w:sz w:val="15"/>
                <w:szCs w:val="15"/>
                <w:lang w:val="en-GB"/>
              </w:rPr>
              <w:t xml:space="preserve">N= 386 adults receiving 399 QTc-prolonging prescriptions in a large, multi-site </w:t>
            </w:r>
            <w:proofErr w:type="spellStart"/>
            <w:r w:rsidRPr="002E08FA">
              <w:rPr>
                <w:sz w:val="15"/>
                <w:szCs w:val="15"/>
                <w:lang w:val="en-GB"/>
              </w:rPr>
              <w:t>UCHealth</w:t>
            </w:r>
            <w:proofErr w:type="spellEnd"/>
            <w:r w:rsidRPr="002E08FA">
              <w:rPr>
                <w:sz w:val="15"/>
                <w:szCs w:val="15"/>
                <w:lang w:val="en-GB"/>
              </w:rPr>
              <w:t xml:space="preserve"> primary-care system. Mean age 51 ± 18 years; 72% female. Citalopram accounted for 35 prescriptions. Settings included academic, suburban, rural, and community ambulatory clinics.</w:t>
            </w:r>
          </w:p>
        </w:tc>
        <w:tc>
          <w:tcPr>
            <w:tcW w:w="0" w:type="auto"/>
            <w:shd w:val="clear" w:color="auto" w:fill="FFFFFF"/>
            <w:tcMar>
              <w:top w:w="30" w:type="dxa"/>
              <w:left w:w="30" w:type="dxa"/>
              <w:bottom w:w="30" w:type="dxa"/>
              <w:right w:w="30" w:type="dxa"/>
            </w:tcMar>
            <w:vAlign w:val="center"/>
            <w:hideMark/>
          </w:tcPr>
          <w:p w:rsidR="002E08FA" w:rsidRPr="002E08FA" w:rsidRDefault="002E08FA" w:rsidP="002E08FA">
            <w:pPr>
              <w:rPr>
                <w:sz w:val="15"/>
                <w:szCs w:val="15"/>
                <w:lang w:val="en-GB"/>
              </w:rPr>
            </w:pPr>
            <w:r w:rsidRPr="002E08FA">
              <w:rPr>
                <w:sz w:val="15"/>
                <w:szCs w:val="15"/>
                <w:lang w:val="en-GB"/>
              </w:rPr>
              <w:t>Exposure: prescribing medications with known, possible, or conditional QTc-prolongation risk. Comparison: actual clinician monitoring/risk-mitigation practices against recommended monitoring needs; no experimental intervention or concurrent control group.</w:t>
            </w:r>
          </w:p>
        </w:tc>
        <w:tc>
          <w:tcPr>
            <w:tcW w:w="0" w:type="auto"/>
            <w:shd w:val="clear" w:color="auto" w:fill="FFFFFF"/>
            <w:tcMar>
              <w:top w:w="30" w:type="dxa"/>
              <w:left w:w="30" w:type="dxa"/>
              <w:bottom w:w="30" w:type="dxa"/>
              <w:right w:w="30" w:type="dxa"/>
            </w:tcMar>
            <w:vAlign w:val="center"/>
            <w:hideMark/>
          </w:tcPr>
          <w:p w:rsidR="002E08FA" w:rsidRPr="002E08FA" w:rsidRDefault="002E08FA" w:rsidP="002E08FA">
            <w:pPr>
              <w:rPr>
                <w:sz w:val="15"/>
                <w:szCs w:val="15"/>
                <w:lang w:val="en-GB"/>
              </w:rPr>
            </w:pPr>
            <w:r w:rsidRPr="002E08FA">
              <w:rPr>
                <w:sz w:val="15"/>
                <w:szCs w:val="15"/>
                <w:lang w:val="en-GB"/>
              </w:rPr>
              <w:t xml:space="preserve">52% of patients had no ECG documented and no baseline QTc history. Among 39 patients with laboratory-related QTc risk factors, only 15% acknowledged or addressed the risk. Eight patients had a previous QTc ≥500 </w:t>
            </w:r>
            <w:proofErr w:type="spellStart"/>
            <w:r w:rsidRPr="002E08FA">
              <w:rPr>
                <w:sz w:val="15"/>
                <w:szCs w:val="15"/>
                <w:lang w:val="en-GB"/>
              </w:rPr>
              <w:t>ms</w:t>
            </w:r>
            <w:proofErr w:type="spellEnd"/>
            <w:r w:rsidRPr="002E08FA">
              <w:rPr>
                <w:sz w:val="15"/>
                <w:szCs w:val="15"/>
                <w:lang w:val="en-GB"/>
              </w:rPr>
              <w:t xml:space="preserve"> but had a baseline ECG screening when the QTc-prolonging medication was ordered. Only 0.5% had a baseline ECG ordered at the time of prescribing. The authors concluded that recommended monitoring and risk mitigation were infrequent in ambulatory care.</w:t>
            </w:r>
          </w:p>
        </w:tc>
        <w:tc>
          <w:tcPr>
            <w:tcW w:w="0" w:type="auto"/>
            <w:shd w:val="clear" w:color="auto" w:fill="FFFFFF"/>
            <w:tcMar>
              <w:top w:w="30" w:type="dxa"/>
              <w:left w:w="30" w:type="dxa"/>
              <w:bottom w:w="30" w:type="dxa"/>
              <w:right w:w="30" w:type="dxa"/>
            </w:tcMar>
            <w:vAlign w:val="center"/>
            <w:hideMark/>
          </w:tcPr>
          <w:p w:rsidR="002E08FA" w:rsidRPr="002E08FA" w:rsidRDefault="002E08FA" w:rsidP="002E08FA">
            <w:pPr>
              <w:rPr>
                <w:sz w:val="15"/>
                <w:szCs w:val="15"/>
                <w:lang w:val="en-GB"/>
              </w:rPr>
            </w:pPr>
            <w:r w:rsidRPr="002E08FA">
              <w:rPr>
                <w:sz w:val="15"/>
                <w:szCs w:val="15"/>
                <w:lang w:val="en-GB"/>
              </w:rPr>
              <w:t xml:space="preserve">Retrospective design limits causal inference. Conducted within one integrated health system, which may limit generalizability. Focused on primary care rather than psychiatric specialty care. Monitoring occurring outside the EHR/system could have been missed. The study measured clinician actions, not subsequent patient outcomes such as </w:t>
            </w:r>
            <w:proofErr w:type="spellStart"/>
            <w:r w:rsidRPr="002E08FA">
              <w:rPr>
                <w:sz w:val="15"/>
                <w:szCs w:val="15"/>
                <w:lang w:val="en-GB"/>
              </w:rPr>
              <w:t>torsades</w:t>
            </w:r>
            <w:proofErr w:type="spellEnd"/>
            <w:r w:rsidRPr="002E08FA">
              <w:rPr>
                <w:sz w:val="15"/>
                <w:szCs w:val="15"/>
                <w:lang w:val="en-GB"/>
              </w:rPr>
              <w:t>, QTc change, or psychiatric stability.</w:t>
            </w:r>
          </w:p>
        </w:tc>
      </w:tr>
      <w:tr w:rsidR="002E08FA" w:rsidRPr="002E08FA" w:rsidTr="002E08FA">
        <w:tc>
          <w:tcPr>
            <w:tcW w:w="0" w:type="auto"/>
            <w:shd w:val="clear" w:color="auto" w:fill="FFFFFF"/>
            <w:tcMar>
              <w:top w:w="30" w:type="dxa"/>
              <w:left w:w="30" w:type="dxa"/>
              <w:bottom w:w="30" w:type="dxa"/>
              <w:right w:w="30" w:type="dxa"/>
            </w:tcMar>
            <w:vAlign w:val="center"/>
            <w:hideMark/>
          </w:tcPr>
          <w:p w:rsidR="002E08FA" w:rsidRPr="002E08FA" w:rsidRDefault="002E08FA" w:rsidP="002E08FA">
            <w:pPr>
              <w:rPr>
                <w:sz w:val="15"/>
                <w:szCs w:val="15"/>
                <w:lang w:val="en-GB"/>
              </w:rPr>
            </w:pPr>
            <w:r w:rsidRPr="002E08FA">
              <w:rPr>
                <w:sz w:val="15"/>
                <w:szCs w:val="15"/>
                <w:lang w:val="en-GB"/>
              </w:rPr>
              <w:t>Zhu et al., 2021</w:t>
            </w:r>
          </w:p>
        </w:tc>
        <w:tc>
          <w:tcPr>
            <w:tcW w:w="0" w:type="auto"/>
            <w:shd w:val="clear" w:color="auto" w:fill="FFFFFF"/>
            <w:tcMar>
              <w:top w:w="30" w:type="dxa"/>
              <w:left w:w="30" w:type="dxa"/>
              <w:bottom w:w="30" w:type="dxa"/>
              <w:right w:w="30" w:type="dxa"/>
            </w:tcMar>
            <w:vAlign w:val="center"/>
            <w:hideMark/>
          </w:tcPr>
          <w:p w:rsidR="002E08FA" w:rsidRPr="002E08FA" w:rsidRDefault="002E08FA" w:rsidP="002E08FA">
            <w:pPr>
              <w:rPr>
                <w:sz w:val="15"/>
                <w:szCs w:val="15"/>
                <w:lang w:val="en-GB"/>
              </w:rPr>
            </w:pPr>
            <w:r w:rsidRPr="002E08FA">
              <w:rPr>
                <w:sz w:val="15"/>
                <w:szCs w:val="15"/>
                <w:lang w:val="en-GB"/>
              </w:rPr>
              <w:t>Evaluated whether measurement-based care (MBC), using routinely administered standardized outcome measures to guide treatment, improves outcomes in adults with depressive disorders. Aligns with the PICOT by supporting serial objective assessment of depressive symptoms as an evidence-based method for evaluating psychiatric stability during ongoing treatment.</w:t>
            </w:r>
          </w:p>
        </w:tc>
        <w:tc>
          <w:tcPr>
            <w:tcW w:w="0" w:type="auto"/>
            <w:shd w:val="clear" w:color="auto" w:fill="FFFFFF"/>
            <w:tcMar>
              <w:top w:w="30" w:type="dxa"/>
              <w:left w:w="30" w:type="dxa"/>
              <w:bottom w:w="30" w:type="dxa"/>
              <w:right w:w="30" w:type="dxa"/>
            </w:tcMar>
            <w:vAlign w:val="center"/>
            <w:hideMark/>
          </w:tcPr>
          <w:p w:rsidR="002E08FA" w:rsidRPr="002E08FA" w:rsidRDefault="002E08FA" w:rsidP="002E08FA">
            <w:pPr>
              <w:rPr>
                <w:sz w:val="15"/>
                <w:szCs w:val="15"/>
                <w:lang w:val="en-GB"/>
              </w:rPr>
            </w:pPr>
            <w:r w:rsidRPr="002E08FA">
              <w:rPr>
                <w:sz w:val="15"/>
                <w:szCs w:val="15"/>
                <w:lang w:val="en-GB"/>
              </w:rPr>
              <w:t>Systematic review and meta-analysis of RCTs; Level I evidence</w:t>
            </w:r>
            <w:r w:rsidRPr="002E08FA">
              <w:rPr>
                <w:b/>
                <w:bCs/>
                <w:sz w:val="15"/>
                <w:szCs w:val="15"/>
                <w:lang w:val="en-GB"/>
              </w:rPr>
              <w:t>.</w:t>
            </w:r>
          </w:p>
        </w:tc>
        <w:tc>
          <w:tcPr>
            <w:tcW w:w="0" w:type="auto"/>
            <w:shd w:val="clear" w:color="auto" w:fill="FFFFFF"/>
            <w:tcMar>
              <w:top w:w="30" w:type="dxa"/>
              <w:left w:w="30" w:type="dxa"/>
              <w:bottom w:w="30" w:type="dxa"/>
              <w:right w:w="30" w:type="dxa"/>
            </w:tcMar>
            <w:vAlign w:val="center"/>
            <w:hideMark/>
          </w:tcPr>
          <w:p w:rsidR="002E08FA" w:rsidRPr="002E08FA" w:rsidRDefault="002E08FA" w:rsidP="002E08FA">
            <w:pPr>
              <w:rPr>
                <w:sz w:val="15"/>
                <w:szCs w:val="15"/>
                <w:lang w:val="en-GB"/>
              </w:rPr>
            </w:pPr>
            <w:r w:rsidRPr="002E08FA">
              <w:rPr>
                <w:sz w:val="15"/>
                <w:szCs w:val="15"/>
                <w:lang w:val="en-GB"/>
              </w:rPr>
              <w:t xml:space="preserve">7 RCTs; N=2,019 adults with depressive disorders. Studies involved pharmacotherapy and were identified through Embase, MEDLINE, PsycINFO, ClinicalTrials.gov, CNKI, &amp; </w:t>
            </w:r>
            <w:proofErr w:type="spellStart"/>
            <w:r w:rsidRPr="002E08FA">
              <w:rPr>
                <w:sz w:val="15"/>
                <w:szCs w:val="15"/>
                <w:lang w:val="en-GB"/>
              </w:rPr>
              <w:t>Wanfang</w:t>
            </w:r>
            <w:proofErr w:type="spellEnd"/>
            <w:r w:rsidRPr="002E08FA">
              <w:rPr>
                <w:sz w:val="15"/>
                <w:szCs w:val="15"/>
                <w:lang w:val="en-GB"/>
              </w:rPr>
              <w:t xml:space="preserve"> databases.</w:t>
            </w:r>
          </w:p>
        </w:tc>
        <w:tc>
          <w:tcPr>
            <w:tcW w:w="0" w:type="auto"/>
            <w:shd w:val="clear" w:color="auto" w:fill="FFFFFF"/>
            <w:tcMar>
              <w:top w:w="30" w:type="dxa"/>
              <w:left w:w="30" w:type="dxa"/>
              <w:bottom w:w="30" w:type="dxa"/>
              <w:right w:w="30" w:type="dxa"/>
            </w:tcMar>
            <w:vAlign w:val="center"/>
            <w:hideMark/>
          </w:tcPr>
          <w:p w:rsidR="002E08FA" w:rsidRPr="002E08FA" w:rsidRDefault="002E08FA" w:rsidP="002E08FA">
            <w:pPr>
              <w:rPr>
                <w:sz w:val="15"/>
                <w:szCs w:val="15"/>
                <w:lang w:val="en-GB"/>
              </w:rPr>
            </w:pPr>
            <w:r w:rsidRPr="002E08FA">
              <w:rPr>
                <w:sz w:val="15"/>
                <w:szCs w:val="15"/>
                <w:lang w:val="en-GB"/>
              </w:rPr>
              <w:t>Intervention: MBC using repeated standardized depression-outcome measures reviewed by clinicians/patients to inform care. Comparison: usual care or non-MBC treatment conditions.</w:t>
            </w:r>
          </w:p>
        </w:tc>
        <w:tc>
          <w:tcPr>
            <w:tcW w:w="0" w:type="auto"/>
            <w:shd w:val="clear" w:color="auto" w:fill="FFFFFF"/>
            <w:tcMar>
              <w:top w:w="30" w:type="dxa"/>
              <w:left w:w="30" w:type="dxa"/>
              <w:bottom w:w="30" w:type="dxa"/>
              <w:right w:w="30" w:type="dxa"/>
            </w:tcMar>
            <w:vAlign w:val="center"/>
            <w:hideMark/>
          </w:tcPr>
          <w:p w:rsidR="002E08FA" w:rsidRPr="002E08FA" w:rsidRDefault="002E08FA" w:rsidP="002E08FA">
            <w:pPr>
              <w:rPr>
                <w:sz w:val="15"/>
                <w:szCs w:val="15"/>
                <w:lang w:val="en-GB"/>
              </w:rPr>
            </w:pPr>
            <w:r w:rsidRPr="002E08FA">
              <w:rPr>
                <w:sz w:val="15"/>
                <w:szCs w:val="15"/>
                <w:lang w:val="en-GB"/>
              </w:rPr>
              <w:t>MBC produced significantly greater remission (5 studies; OR = 1.83, 95% CI 1.12–2.97, </w:t>
            </w:r>
            <w:r w:rsidRPr="002E08FA">
              <w:rPr>
                <w:i/>
                <w:iCs/>
                <w:sz w:val="15"/>
                <w:szCs w:val="15"/>
                <w:lang w:val="en-GB"/>
              </w:rPr>
              <w:t>p</w:t>
            </w:r>
            <w:r w:rsidRPr="002E08FA">
              <w:rPr>
                <w:sz w:val="15"/>
                <w:szCs w:val="15"/>
                <w:lang w:val="en-GB"/>
              </w:rPr>
              <w:t> = .015), lower endpoint depression severity (5 studies; SMD = 0.53, 95% CI 0.06–0.99, </w:t>
            </w:r>
            <w:r w:rsidRPr="002E08FA">
              <w:rPr>
                <w:i/>
                <w:iCs/>
                <w:sz w:val="15"/>
                <w:szCs w:val="15"/>
                <w:lang w:val="en-GB"/>
              </w:rPr>
              <w:t>p</w:t>
            </w:r>
            <w:r w:rsidRPr="002E08FA">
              <w:rPr>
                <w:sz w:val="15"/>
                <w:szCs w:val="15"/>
                <w:lang w:val="en-GB"/>
              </w:rPr>
              <w:t> = .026), and greater medication adherence (3 studies; OR = 1.68, 95% CI 1.22–2.30, </w:t>
            </w:r>
            <w:r w:rsidRPr="002E08FA">
              <w:rPr>
                <w:i/>
                <w:iCs/>
                <w:sz w:val="15"/>
                <w:szCs w:val="15"/>
                <w:lang w:val="en-GB"/>
              </w:rPr>
              <w:t>p</w:t>
            </w:r>
            <w:r w:rsidRPr="002E08FA">
              <w:rPr>
                <w:sz w:val="15"/>
                <w:szCs w:val="15"/>
                <w:lang w:val="en-GB"/>
              </w:rPr>
              <w:t> = .001). Response rate was not significantly different (OR = 1.66, 95% CI 0.66–4.17, </w:t>
            </w:r>
            <w:r w:rsidRPr="002E08FA">
              <w:rPr>
                <w:i/>
                <w:iCs/>
                <w:sz w:val="15"/>
                <w:szCs w:val="15"/>
                <w:lang w:val="en-GB"/>
              </w:rPr>
              <w:t>p</w:t>
            </w:r>
            <w:r w:rsidRPr="002E08FA">
              <w:rPr>
                <w:sz w:val="15"/>
                <w:szCs w:val="15"/>
                <w:lang w:val="en-GB"/>
              </w:rPr>
              <w:t> = .279).</w:t>
            </w:r>
          </w:p>
        </w:tc>
        <w:tc>
          <w:tcPr>
            <w:tcW w:w="0" w:type="auto"/>
            <w:shd w:val="clear" w:color="auto" w:fill="FFFFFF"/>
            <w:tcMar>
              <w:top w:w="30" w:type="dxa"/>
              <w:left w:w="30" w:type="dxa"/>
              <w:bottom w:w="30" w:type="dxa"/>
              <w:right w:w="30" w:type="dxa"/>
            </w:tcMar>
            <w:vAlign w:val="center"/>
            <w:hideMark/>
          </w:tcPr>
          <w:p w:rsidR="002E08FA" w:rsidRPr="002E08FA" w:rsidRDefault="002E08FA" w:rsidP="002E08FA">
            <w:pPr>
              <w:rPr>
                <w:sz w:val="15"/>
                <w:szCs w:val="15"/>
                <w:lang w:val="en-GB"/>
              </w:rPr>
            </w:pPr>
            <w:r w:rsidRPr="002E08FA">
              <w:rPr>
                <w:sz w:val="15"/>
                <w:szCs w:val="15"/>
                <w:lang w:val="en-GB"/>
              </w:rPr>
              <w:t>Only 7 RCTs met criteria; several outcomes were based on fewer studies. Authors identified high risk of bias and significant heterogeneity. Depression measures and MBC approaches varied across trials. Because the meta-analysis was not a PHQ-9-only analysis, its findings support standardized serial symptom measurement more broadly rather than proving the PHQ-9's superiority.</w:t>
            </w:r>
          </w:p>
        </w:tc>
      </w:tr>
      <w:tr w:rsidR="002E08FA" w:rsidRPr="002E08FA" w:rsidTr="002E08FA">
        <w:tc>
          <w:tcPr>
            <w:tcW w:w="0" w:type="auto"/>
            <w:shd w:val="clear" w:color="auto" w:fill="FFFFFF"/>
            <w:tcMar>
              <w:top w:w="30" w:type="dxa"/>
              <w:left w:w="30" w:type="dxa"/>
              <w:bottom w:w="30" w:type="dxa"/>
              <w:right w:w="30" w:type="dxa"/>
            </w:tcMar>
            <w:vAlign w:val="center"/>
            <w:hideMark/>
          </w:tcPr>
          <w:p w:rsidR="002E08FA" w:rsidRPr="002E08FA" w:rsidRDefault="002E08FA" w:rsidP="002E08FA">
            <w:pPr>
              <w:rPr>
                <w:sz w:val="15"/>
                <w:szCs w:val="15"/>
                <w:lang w:val="en-GB"/>
              </w:rPr>
            </w:pPr>
            <w:proofErr w:type="spellStart"/>
            <w:r w:rsidRPr="002E08FA">
              <w:rPr>
                <w:sz w:val="15"/>
                <w:szCs w:val="15"/>
                <w:lang w:val="en-GB"/>
              </w:rPr>
              <w:lastRenderedPageBreak/>
              <w:t>Putnikovic</w:t>
            </w:r>
            <w:proofErr w:type="spellEnd"/>
            <w:r w:rsidRPr="002E08FA">
              <w:rPr>
                <w:sz w:val="15"/>
                <w:szCs w:val="15"/>
                <w:lang w:val="en-GB"/>
              </w:rPr>
              <w:t xml:space="preserve"> et al., 2022</w:t>
            </w:r>
          </w:p>
        </w:tc>
        <w:tc>
          <w:tcPr>
            <w:tcW w:w="0" w:type="auto"/>
            <w:shd w:val="clear" w:color="auto" w:fill="FFFFFF"/>
            <w:tcMar>
              <w:top w:w="30" w:type="dxa"/>
              <w:left w:w="30" w:type="dxa"/>
              <w:bottom w:w="30" w:type="dxa"/>
              <w:right w:w="30" w:type="dxa"/>
            </w:tcMar>
            <w:vAlign w:val="center"/>
            <w:hideMark/>
          </w:tcPr>
          <w:p w:rsidR="002E08FA" w:rsidRPr="002E08FA" w:rsidRDefault="002E08FA" w:rsidP="002E08FA">
            <w:pPr>
              <w:rPr>
                <w:sz w:val="15"/>
                <w:szCs w:val="15"/>
                <w:lang w:val="en-GB"/>
              </w:rPr>
            </w:pPr>
            <w:r w:rsidRPr="002E08FA">
              <w:rPr>
                <w:sz w:val="15"/>
                <w:szCs w:val="15"/>
                <w:lang w:val="en-GB"/>
              </w:rPr>
              <w:t>Determined how frequently baseline and follow-up ECG monitoring is performed in adults starting high-risk QT-prolonging medications. Strong alignment with the PICOT because it addresses risk-indicated ECG surveillance, medication-related QT risk, and the outpatient/non-hospital practice gap that our nurse-led protocol is intended to improve.</w:t>
            </w:r>
          </w:p>
        </w:tc>
        <w:tc>
          <w:tcPr>
            <w:tcW w:w="0" w:type="auto"/>
            <w:shd w:val="clear" w:color="auto" w:fill="FFFFFF"/>
            <w:tcMar>
              <w:top w:w="30" w:type="dxa"/>
              <w:left w:w="30" w:type="dxa"/>
              <w:bottom w:w="30" w:type="dxa"/>
              <w:right w:w="30" w:type="dxa"/>
            </w:tcMar>
            <w:vAlign w:val="center"/>
            <w:hideMark/>
          </w:tcPr>
          <w:p w:rsidR="002E08FA" w:rsidRPr="002E08FA" w:rsidRDefault="002E08FA" w:rsidP="002E08FA">
            <w:pPr>
              <w:rPr>
                <w:sz w:val="15"/>
                <w:szCs w:val="15"/>
                <w:lang w:val="en-GB"/>
              </w:rPr>
            </w:pPr>
            <w:r w:rsidRPr="002E08FA">
              <w:rPr>
                <w:sz w:val="15"/>
                <w:szCs w:val="15"/>
                <w:lang w:val="en-GB"/>
              </w:rPr>
              <w:t>Systematic review and proportional meta-analysis; Level I evidence.</w:t>
            </w:r>
          </w:p>
        </w:tc>
        <w:tc>
          <w:tcPr>
            <w:tcW w:w="0" w:type="auto"/>
            <w:shd w:val="clear" w:color="auto" w:fill="FFFFFF"/>
            <w:tcMar>
              <w:top w:w="30" w:type="dxa"/>
              <w:left w:w="30" w:type="dxa"/>
              <w:bottom w:w="30" w:type="dxa"/>
              <w:right w:w="30" w:type="dxa"/>
            </w:tcMar>
            <w:vAlign w:val="center"/>
            <w:hideMark/>
          </w:tcPr>
          <w:p w:rsidR="002E08FA" w:rsidRPr="002E08FA" w:rsidRDefault="002E08FA" w:rsidP="002E08FA">
            <w:pPr>
              <w:rPr>
                <w:sz w:val="15"/>
                <w:szCs w:val="15"/>
                <w:lang w:val="en-GB"/>
              </w:rPr>
            </w:pPr>
            <w:r w:rsidRPr="002E08FA">
              <w:rPr>
                <w:sz w:val="15"/>
                <w:szCs w:val="15"/>
                <w:lang w:val="en-GB"/>
              </w:rPr>
              <w:t>14 retrospective cohort studies. Thirteen studies contributed baseline ECG data involving 18,581 participants; seven contributed follow-up ECG data involving 43,321 participants. Setting: Hospital and non-hospital clinical settings.</w:t>
            </w:r>
          </w:p>
        </w:tc>
        <w:tc>
          <w:tcPr>
            <w:tcW w:w="0" w:type="auto"/>
            <w:shd w:val="clear" w:color="auto" w:fill="FFFFFF"/>
            <w:tcMar>
              <w:top w:w="30" w:type="dxa"/>
              <w:left w:w="30" w:type="dxa"/>
              <w:bottom w:w="30" w:type="dxa"/>
              <w:right w:w="30" w:type="dxa"/>
            </w:tcMar>
            <w:vAlign w:val="center"/>
            <w:hideMark/>
          </w:tcPr>
          <w:p w:rsidR="002E08FA" w:rsidRPr="002E08FA" w:rsidRDefault="002E08FA" w:rsidP="002E08FA">
            <w:pPr>
              <w:rPr>
                <w:sz w:val="15"/>
                <w:szCs w:val="15"/>
                <w:lang w:val="en-GB"/>
              </w:rPr>
            </w:pPr>
            <w:r w:rsidRPr="002E08FA">
              <w:rPr>
                <w:sz w:val="15"/>
                <w:szCs w:val="15"/>
                <w:lang w:val="en-GB"/>
              </w:rPr>
              <w:t xml:space="preserve">Exposure: initiation of medications classified as having a known risk of </w:t>
            </w:r>
            <w:proofErr w:type="spellStart"/>
            <w:r w:rsidRPr="002E08FA">
              <w:rPr>
                <w:sz w:val="15"/>
                <w:szCs w:val="15"/>
                <w:lang w:val="en-GB"/>
              </w:rPr>
              <w:t>torsades</w:t>
            </w:r>
            <w:proofErr w:type="spellEnd"/>
            <w:r w:rsidRPr="002E08FA">
              <w:rPr>
                <w:sz w:val="15"/>
                <w:szCs w:val="15"/>
                <w:lang w:val="en-GB"/>
              </w:rPr>
              <w:t xml:space="preserve"> de pointes/QT prolongation. Comparison: prevalence of ECG monitoring at baseline and follow-up across hospital versus non-hospital settings. No experimental intervention was tested.</w:t>
            </w:r>
          </w:p>
        </w:tc>
        <w:tc>
          <w:tcPr>
            <w:tcW w:w="0" w:type="auto"/>
            <w:shd w:val="clear" w:color="auto" w:fill="FFFFFF"/>
            <w:tcMar>
              <w:top w:w="30" w:type="dxa"/>
              <w:left w:w="30" w:type="dxa"/>
              <w:bottom w:w="30" w:type="dxa"/>
              <w:right w:w="30" w:type="dxa"/>
            </w:tcMar>
            <w:vAlign w:val="center"/>
            <w:hideMark/>
          </w:tcPr>
          <w:p w:rsidR="002E08FA" w:rsidRPr="002E08FA" w:rsidRDefault="002E08FA" w:rsidP="002E08FA">
            <w:pPr>
              <w:rPr>
                <w:sz w:val="15"/>
                <w:szCs w:val="15"/>
                <w:lang w:val="en-GB"/>
              </w:rPr>
            </w:pPr>
            <w:r w:rsidRPr="002E08FA">
              <w:rPr>
                <w:sz w:val="15"/>
                <w:szCs w:val="15"/>
                <w:lang w:val="en-GB"/>
              </w:rPr>
              <w:t>Baseline ECG monitoring was substantially higher in hospitals (75.1%; 95% CI 64.3–84.5) than in non-hospital settings (33.7%; 95% CI 25.8–42.2). Follow-up ECG monitoring in hospitals was only 39.2% (95% CI 28.2–50.8); insufficient data prevented estimating follow-up monitoring in non-hospital settings. Authors concluded that ECG monitoring is variable and limited, with an important evidence and practice gap outside hospitals</w:t>
            </w:r>
          </w:p>
        </w:tc>
        <w:tc>
          <w:tcPr>
            <w:tcW w:w="0" w:type="auto"/>
            <w:shd w:val="clear" w:color="auto" w:fill="FFFFFF"/>
            <w:tcMar>
              <w:top w:w="30" w:type="dxa"/>
              <w:left w:w="30" w:type="dxa"/>
              <w:bottom w:w="30" w:type="dxa"/>
              <w:right w:w="30" w:type="dxa"/>
            </w:tcMar>
            <w:vAlign w:val="center"/>
            <w:hideMark/>
          </w:tcPr>
          <w:p w:rsidR="002E08FA" w:rsidRPr="002E08FA" w:rsidRDefault="002E08FA" w:rsidP="002E08FA">
            <w:pPr>
              <w:rPr>
                <w:sz w:val="15"/>
                <w:szCs w:val="15"/>
                <w:lang w:val="en-GB"/>
              </w:rPr>
            </w:pPr>
            <w:r w:rsidRPr="002E08FA">
              <w:rPr>
                <w:sz w:val="15"/>
                <w:szCs w:val="15"/>
                <w:lang w:val="en-GB"/>
              </w:rPr>
              <w:t>All included studies were retrospective cohorts, so the pooled evidence inherits observational limitations and cannot establish causality. Substantial variation existed across settings and medications. Evidence for non-hospital follow-up ECG monitoring was low, and the review examined high-risk QT-prolonging drugs broadly rather than citalopram specifically.</w:t>
            </w:r>
          </w:p>
        </w:tc>
      </w:tr>
    </w:tbl>
    <w:p w:rsidR="002E08FA" w:rsidRPr="002E08FA" w:rsidRDefault="002E08FA" w:rsidP="002E08FA">
      <w:pPr>
        <w:rPr>
          <w:lang w:val="en-GB"/>
        </w:rPr>
      </w:pPr>
      <w:r w:rsidRPr="002E08FA">
        <w:rPr>
          <w:lang w:val="en-GB"/>
        </w:rPr>
        <w:t>                                                         Evidence-based Matrix    </w:t>
      </w:r>
    </w:p>
    <w:p w:rsidR="002E08FA" w:rsidRPr="002E08FA" w:rsidRDefault="002E08FA" w:rsidP="002E08FA">
      <w:pPr>
        <w:rPr>
          <w:lang w:val="en-GB"/>
        </w:rPr>
      </w:pPr>
      <w:r w:rsidRPr="002E08FA">
        <w:rPr>
          <w:b/>
          <w:bCs/>
          <w:lang w:val="en-GB"/>
        </w:rPr>
        <w:t>Legend</w:t>
      </w:r>
      <w:r w:rsidRPr="002E08FA">
        <w:rPr>
          <w:lang w:val="en-GB"/>
        </w:rPr>
        <w:t xml:space="preserve">: Primary dx: MDD, Ms = </w:t>
      </w:r>
      <w:proofErr w:type="gramStart"/>
      <w:r w:rsidRPr="002E08FA">
        <w:rPr>
          <w:lang w:val="en-GB"/>
        </w:rPr>
        <w:t>Milliseconds,  MDD</w:t>
      </w:r>
      <w:proofErr w:type="gramEnd"/>
      <w:r w:rsidRPr="002E08FA">
        <w:rPr>
          <w:lang w:val="en-GB"/>
        </w:rPr>
        <w:t xml:space="preserve"> = Major depressive disorder, P=The P-value (P-value of less than 0.05 is considered true &amp; reliable),</w:t>
      </w:r>
    </w:p>
    <w:p w:rsidR="002E08FA" w:rsidRPr="002E08FA" w:rsidRDefault="002E08FA" w:rsidP="002E08FA">
      <w:pPr>
        <w:rPr>
          <w:lang w:val="en-GB"/>
        </w:rPr>
      </w:pPr>
      <w:r w:rsidRPr="002E08FA">
        <w:rPr>
          <w:lang w:val="en-GB"/>
        </w:rPr>
        <w:t xml:space="preserve">CI = Confidence interval – the range where the effect size likely falls, and OR = Odds ratio </w:t>
      </w:r>
      <w:proofErr w:type="gramStart"/>
      <w:r w:rsidRPr="002E08FA">
        <w:rPr>
          <w:lang w:val="en-GB"/>
        </w:rPr>
        <w:t>-  compares</w:t>
      </w:r>
      <w:proofErr w:type="gramEnd"/>
      <w:r w:rsidRPr="002E08FA">
        <w:rPr>
          <w:lang w:val="en-GB"/>
        </w:rPr>
        <w:t xml:space="preserve"> the likelihood of an event happening in one group vs another group. Evidence level: Graded under the Johns Hopkins style hierarchy.</w:t>
      </w:r>
    </w:p>
    <w:p w:rsidR="002E08FA" w:rsidRPr="002E08FA" w:rsidRDefault="002E08FA" w:rsidP="002E08FA">
      <w:pPr>
        <w:rPr>
          <w:lang w:val="en-GB"/>
        </w:rPr>
      </w:pPr>
      <w:r w:rsidRPr="002E08FA">
        <w:rPr>
          <w:lang w:val="en-GB"/>
        </w:rPr>
        <w:t> </w:t>
      </w:r>
    </w:p>
    <w:p w:rsidR="002E08FA" w:rsidRPr="002E08FA" w:rsidRDefault="002E08FA" w:rsidP="002E08FA">
      <w:pPr>
        <w:rPr>
          <w:lang w:val="en-GB"/>
        </w:rPr>
      </w:pPr>
      <w:r w:rsidRPr="002E08FA">
        <w:rPr>
          <w:b/>
          <w:bCs/>
          <w:lang w:val="en-GB"/>
        </w:rPr>
        <w:t>                                                       Synthesis Matrix Discussion</w:t>
      </w:r>
    </w:p>
    <w:p w:rsidR="002E08FA" w:rsidRPr="002E08FA" w:rsidRDefault="002E08FA" w:rsidP="002E08FA">
      <w:pPr>
        <w:rPr>
          <w:lang w:val="en-GB"/>
        </w:rPr>
      </w:pPr>
      <w:r w:rsidRPr="002E08FA">
        <w:rPr>
          <w:b/>
          <w:bCs/>
          <w:lang w:val="en-GB"/>
        </w:rPr>
        <w:t> PICO/Practice Problem: </w:t>
      </w:r>
      <w:r w:rsidRPr="002E08FA">
        <w:rPr>
          <w:lang w:val="en-GB"/>
        </w:rPr>
        <w:t>In adult outpatients with Major Depressive Disorder (MDD) prescribed citalopram (P), does implementation of a nurse-led surveillance protocol consisting of AHA risk-indicated ECG monitoring (I), compared with usual care (C), improve adherence to indicated ECG surveillance while maintaining psychiatric stability as measured by serial PHQ-9 scores over three months (O)?</w:t>
      </w:r>
    </w:p>
    <w:p w:rsidR="002E08FA" w:rsidRPr="002E08FA" w:rsidRDefault="002E08FA" w:rsidP="002E08FA">
      <w:pPr>
        <w:rPr>
          <w:lang w:val="en-GB"/>
        </w:rPr>
      </w:pPr>
      <w:r w:rsidRPr="002E08FA">
        <w:rPr>
          <w:b/>
          <w:bCs/>
          <w:lang w:val="en-GB"/>
        </w:rPr>
        <w:t>                                                    Evidence-Based Contribution</w:t>
      </w:r>
    </w:p>
    <w:p w:rsidR="002E08FA" w:rsidRPr="002E08FA" w:rsidRDefault="002E08FA" w:rsidP="002E08FA">
      <w:pPr>
        <w:rPr>
          <w:lang w:val="en-GB"/>
        </w:rPr>
      </w:pPr>
      <w:r w:rsidRPr="002E08FA">
        <w:rPr>
          <w:lang w:val="en-GB"/>
        </w:rPr>
        <w:t xml:space="preserve">Across the studies, no single study addressed all components of the PICOT. Instead, the evidence was fragmented across the nurse-led cardiac safety monitoring, antidepressant maintenance, polypharmacy, and individualized drug exposure. The strongest evidence came from two Level I systematic reviews: </w:t>
      </w:r>
      <w:proofErr w:type="spellStart"/>
      <w:r w:rsidRPr="002E08FA">
        <w:rPr>
          <w:lang w:val="en-GB"/>
        </w:rPr>
        <w:t>Putnikovic</w:t>
      </w:r>
      <w:proofErr w:type="spellEnd"/>
      <w:r w:rsidRPr="002E08FA">
        <w:rPr>
          <w:lang w:val="en-GB"/>
        </w:rPr>
        <w:t xml:space="preserve"> et al. (2022), which synthesized ECG-monitoring practices for high-risk QT-prolonging medications, and Zhu et al. (2021), which evaluated measurement-based care (MBC) for depressive disorders. The evidence matrix supported reasoning across studies by establishing the fidelity and quality of evidence for what is known and unknown, enabling project alignment and improvements to drive patient care (Harris et al., 2023). Collectively, the literature supports individualized citalopram dose modification when cardiac safety concerns emerge. This discussion critically evaluates and synthesizes the best available literature, regardless of level, by synthesizing complementary findings that support a nurse-led, individualized approach to citalopram dose reduction based on AHA-indicated ECG risk monitoring, while highlighting convergence on effectiveness, feasibility, equity, and setting, as well as knowledge gaps.</w:t>
      </w:r>
    </w:p>
    <w:p w:rsidR="002E08FA" w:rsidRPr="002E08FA" w:rsidRDefault="002E08FA" w:rsidP="002E08FA">
      <w:pPr>
        <w:rPr>
          <w:lang w:val="en-GB"/>
        </w:rPr>
      </w:pPr>
      <w:r w:rsidRPr="002E08FA">
        <w:rPr>
          <w:b/>
          <w:bCs/>
          <w:lang w:val="en-GB"/>
        </w:rPr>
        <w:t>                                                      Effectiveness</w:t>
      </w:r>
    </w:p>
    <w:p w:rsidR="002E08FA" w:rsidRPr="002E08FA" w:rsidRDefault="002E08FA" w:rsidP="002E08FA">
      <w:pPr>
        <w:rPr>
          <w:lang w:val="en-GB"/>
        </w:rPr>
      </w:pPr>
      <w:r w:rsidRPr="002E08FA">
        <w:rPr>
          <w:lang w:val="en-GB"/>
        </w:rPr>
        <w:t xml:space="preserve">Across cardiac-safety studies, QTc risk and inconsistent monitoring recurred. </w:t>
      </w:r>
      <w:proofErr w:type="spellStart"/>
      <w:r w:rsidRPr="002E08FA">
        <w:rPr>
          <w:lang w:val="en-GB"/>
        </w:rPr>
        <w:t>Bulatova</w:t>
      </w:r>
      <w:proofErr w:type="spellEnd"/>
      <w:r w:rsidRPr="002E08FA">
        <w:rPr>
          <w:lang w:val="en-GB"/>
        </w:rPr>
        <w:t xml:space="preserve"> et al. (2021) found that citalopram use was associated with longer QTc intervals in psychiatric outpatients, while patients with prolonged QTc also had additional risk factors such as polypharmacy. Lowe et al. (2024) similarly identified substantial ambulatory monitoring gaps: more than half of the patients prescribed QT-prolonging medications lacked </w:t>
      </w:r>
      <w:r w:rsidRPr="002E08FA">
        <w:rPr>
          <w:lang w:val="en-GB"/>
        </w:rPr>
        <w:lastRenderedPageBreak/>
        <w:t xml:space="preserve">documented ECG history, and providers infrequently addressed identified risk factors. </w:t>
      </w:r>
      <w:proofErr w:type="spellStart"/>
      <w:r w:rsidRPr="002E08FA">
        <w:rPr>
          <w:lang w:val="en-GB"/>
        </w:rPr>
        <w:t>Putnikovic</w:t>
      </w:r>
      <w:proofErr w:type="spellEnd"/>
      <w:r w:rsidRPr="002E08FA">
        <w:rPr>
          <w:lang w:val="en-GB"/>
        </w:rPr>
        <w:t xml:space="preserve"> et al. (2022) reinforced this pattern at a higher level of evidence, demonstrating substantially lower baseline ECG monitoring in nonhospital settings than in hospitals. Together, these findings support risk-indicated rather than universal ECG surveillance for patients with identifiable QTc risk factors (</w:t>
      </w:r>
      <w:proofErr w:type="spellStart"/>
      <w:r w:rsidRPr="002E08FA">
        <w:rPr>
          <w:lang w:val="en-GB"/>
        </w:rPr>
        <w:t>Bulatova</w:t>
      </w:r>
      <w:proofErr w:type="spellEnd"/>
      <w:r w:rsidRPr="002E08FA">
        <w:rPr>
          <w:lang w:val="en-GB"/>
        </w:rPr>
        <w:t xml:space="preserve"> et al., 2021; Lowe et al., 2024; </w:t>
      </w:r>
      <w:proofErr w:type="spellStart"/>
      <w:r w:rsidRPr="002E08FA">
        <w:rPr>
          <w:lang w:val="en-GB"/>
        </w:rPr>
        <w:t>Putnikovic</w:t>
      </w:r>
      <w:proofErr w:type="spellEnd"/>
      <w:r w:rsidRPr="002E08FA">
        <w:rPr>
          <w:lang w:val="en-GB"/>
        </w:rPr>
        <w:t xml:space="preserve"> et al., 2022).</w:t>
      </w:r>
    </w:p>
    <w:p w:rsidR="002E08FA" w:rsidRPr="002E08FA" w:rsidRDefault="002E08FA" w:rsidP="002E08FA">
      <w:pPr>
        <w:rPr>
          <w:lang w:val="en-GB"/>
        </w:rPr>
      </w:pPr>
      <w:r w:rsidRPr="002E08FA">
        <w:rPr>
          <w:lang w:val="en-GB"/>
        </w:rPr>
        <w:t>A second consistent pattern involved objective psychiatric monitoring. Hawkins (2023) demonstrated that a structured quality improvement (</w:t>
      </w:r>
      <w:proofErr w:type="gramStart"/>
      <w:r w:rsidRPr="002E08FA">
        <w:rPr>
          <w:lang w:val="en-GB"/>
        </w:rPr>
        <w:t>QI)  intervention</w:t>
      </w:r>
      <w:proofErr w:type="gramEnd"/>
      <w:r w:rsidRPr="002E08FA">
        <w:rPr>
          <w:lang w:val="en-GB"/>
        </w:rPr>
        <w:t xml:space="preserve"> increased PHQ-9 monitoring from 5.1% at baseline to an average of 51.3% in an outpatient psychiatric clinic. At a higher level of rigor, Zhu et al. (2021) found that MBC was associated with greater remission, lower depression severity, and improved medication adherence compared with usual care. Although not every outcome was statistically significant, the overall pattern supports repeated standardized assessment as an evidence-based method for evaluating psychiatric status over time (Hawkins, 2023; Zhu et al., 2021).</w:t>
      </w:r>
    </w:p>
    <w:p w:rsidR="002E08FA" w:rsidRPr="002E08FA" w:rsidRDefault="002E08FA" w:rsidP="002E08FA">
      <w:pPr>
        <w:rPr>
          <w:lang w:val="en-GB"/>
        </w:rPr>
      </w:pPr>
      <w:r w:rsidRPr="002E08FA">
        <w:rPr>
          <w:b/>
          <w:bCs/>
          <w:lang w:val="en-GB"/>
        </w:rPr>
        <w:t>                                                  Feasibility</w:t>
      </w:r>
    </w:p>
    <w:p w:rsidR="002E08FA" w:rsidRPr="002E08FA" w:rsidRDefault="002E08FA" w:rsidP="002E08FA">
      <w:pPr>
        <w:rPr>
          <w:lang w:val="en-GB"/>
        </w:rPr>
      </w:pPr>
      <w:r w:rsidRPr="002E08FA">
        <w:rPr>
          <w:lang w:val="en-GB"/>
        </w:rPr>
        <w:t>Feasibility is best supported in outpatient psychiatric care. Hawkins (2023) revealed that relatively simple workflow changes, including education and visual reminders, substantially improved PHQ-9 monitoring. This suggests that standardized monitoring can be incorporated into routine psychiatric care without a highly complex intervention. This finding is especially relevant to the proposed nurse-led protocol because it shows that objective assessment can be integrated into existing clinical workflow at little or no additional cost.</w:t>
      </w:r>
    </w:p>
    <w:p w:rsidR="002E08FA" w:rsidRPr="002E08FA" w:rsidRDefault="002E08FA" w:rsidP="002E08FA">
      <w:pPr>
        <w:rPr>
          <w:lang w:val="en-GB"/>
        </w:rPr>
      </w:pPr>
      <w:r w:rsidRPr="002E08FA">
        <w:rPr>
          <w:lang w:val="en-GB"/>
        </w:rPr>
        <w:t xml:space="preserve">The ECG evidence also supports a focused rather than universal monitoring approach. </w:t>
      </w:r>
      <w:proofErr w:type="spellStart"/>
      <w:r w:rsidRPr="002E08FA">
        <w:rPr>
          <w:lang w:val="en-GB"/>
        </w:rPr>
        <w:t>Putnikovic</w:t>
      </w:r>
      <w:proofErr w:type="spellEnd"/>
      <w:r w:rsidRPr="002E08FA">
        <w:rPr>
          <w:lang w:val="en-GB"/>
        </w:rPr>
        <w:t xml:space="preserve"> et al. (2022) found that baseline ECG monitoring occurred less often in nonhospital than hospital settings, indicating substantial barriers to outpatient implementation. Lowe et al. (2024) likewise found inconsistent surveillance and risk mitigation in ambulatory care. These patterns suggest that a nurse-led protocol triggered by recognized QTc risk factors may be more practical than requiring ECG screening for every patient prescribed citalopram. However, none of the included studies directly evaluated a nurse-led QTc surveillance protocol, leaving a significant implementation gap (Lowe et al., 2024; </w:t>
      </w:r>
      <w:proofErr w:type="spellStart"/>
      <w:r w:rsidRPr="002E08FA">
        <w:rPr>
          <w:lang w:val="en-GB"/>
        </w:rPr>
        <w:t>Putnikovic</w:t>
      </w:r>
      <w:proofErr w:type="spellEnd"/>
      <w:r w:rsidRPr="002E08FA">
        <w:rPr>
          <w:lang w:val="en-GB"/>
        </w:rPr>
        <w:t xml:space="preserve"> et al., 2022).</w:t>
      </w:r>
    </w:p>
    <w:p w:rsidR="002E08FA" w:rsidRPr="002E08FA" w:rsidRDefault="002E08FA" w:rsidP="002E08FA">
      <w:pPr>
        <w:rPr>
          <w:lang w:val="en-GB"/>
        </w:rPr>
      </w:pPr>
      <w:r w:rsidRPr="002E08FA">
        <w:rPr>
          <w:b/>
          <w:bCs/>
          <w:lang w:val="en-GB"/>
        </w:rPr>
        <w:t>                                                       Equity</w:t>
      </w:r>
    </w:p>
    <w:p w:rsidR="002E08FA" w:rsidRPr="002E08FA" w:rsidRDefault="002E08FA" w:rsidP="002E08FA">
      <w:pPr>
        <w:rPr>
          <w:lang w:val="en-GB"/>
        </w:rPr>
      </w:pPr>
      <w:r w:rsidRPr="002E08FA">
        <w:rPr>
          <w:lang w:val="en-GB"/>
        </w:rPr>
        <w:t>Equity was not a primary outcome in the included studies, representing a clear limitation in the evidence base. The studies focused mainly on medication safety, monitoring frequency, implementation processes, and depressive outcomes rather than health disparity differences by race, ethnicity, socioeconomic status, geography, insurance status, or other equity-related characteristics. Therefore, the available evidence does not establish whether the proposed monitoring approach would be equally effective across diverse patient groups.</w:t>
      </w:r>
    </w:p>
    <w:p w:rsidR="002E08FA" w:rsidRPr="002E08FA" w:rsidRDefault="002E08FA" w:rsidP="002E08FA">
      <w:pPr>
        <w:rPr>
          <w:lang w:val="en-GB"/>
        </w:rPr>
      </w:pPr>
      <w:r w:rsidRPr="002E08FA">
        <w:rPr>
          <w:lang w:val="en-GB"/>
        </w:rPr>
        <w:t>A standardized, risk-indicated protocol may still reduce practice variation by applying consistent clinical criteria to eligible patients rather than relying solely on clinician discretion. This potential equity benefit remains interpretative because it was not directly tested. Future implementation should therefore examine whether ECG surveillance and PHQ-9 monitoring are completed consistently across demographic and access-related groups. </w:t>
      </w:r>
    </w:p>
    <w:p w:rsidR="002E08FA" w:rsidRPr="002E08FA" w:rsidRDefault="002E08FA" w:rsidP="002E08FA">
      <w:pPr>
        <w:rPr>
          <w:lang w:val="en-GB"/>
        </w:rPr>
      </w:pPr>
      <w:r w:rsidRPr="002E08FA">
        <w:rPr>
          <w:b/>
          <w:bCs/>
          <w:lang w:val="en-GB"/>
        </w:rPr>
        <w:t>                                                          Setting</w:t>
      </w:r>
    </w:p>
    <w:p w:rsidR="002E08FA" w:rsidRPr="002E08FA" w:rsidRDefault="002E08FA" w:rsidP="002E08FA">
      <w:pPr>
        <w:rPr>
          <w:lang w:val="en-GB"/>
        </w:rPr>
      </w:pPr>
      <w:r w:rsidRPr="002E08FA">
        <w:rPr>
          <w:lang w:val="en-GB"/>
        </w:rPr>
        <w:t xml:space="preserve">Setting influenced both relevance and generalizability across the evidence. Hawkins (2023) and </w:t>
      </w:r>
      <w:proofErr w:type="spellStart"/>
      <w:r w:rsidRPr="002E08FA">
        <w:rPr>
          <w:lang w:val="en-GB"/>
        </w:rPr>
        <w:t>Bulatova</w:t>
      </w:r>
      <w:proofErr w:type="spellEnd"/>
      <w:r w:rsidRPr="002E08FA">
        <w:rPr>
          <w:lang w:val="en-GB"/>
        </w:rPr>
        <w:t xml:space="preserve"> et al. (2021) were particularly relevant because both involved outpatient psychiatric populations, similar to the proposed practice environment. However, their single-site designs reduce external validity. </w:t>
      </w:r>
      <w:proofErr w:type="spellStart"/>
      <w:r w:rsidRPr="002E08FA">
        <w:rPr>
          <w:lang w:val="en-GB"/>
        </w:rPr>
        <w:t>Bulatova</w:t>
      </w:r>
      <w:proofErr w:type="spellEnd"/>
      <w:r w:rsidRPr="002E08FA">
        <w:rPr>
          <w:lang w:val="en-GB"/>
        </w:rPr>
        <w:t xml:space="preserve"> et al. (2021) was also conducted outside the </w:t>
      </w:r>
      <w:r w:rsidRPr="002E08FA">
        <w:rPr>
          <w:lang w:val="en-GB"/>
        </w:rPr>
        <w:lastRenderedPageBreak/>
        <w:t>United States, limiting direct generalization despite its strong relevance to citalopram and QTc risk.</w:t>
      </w:r>
    </w:p>
    <w:p w:rsidR="002E08FA" w:rsidRPr="002E08FA" w:rsidRDefault="002E08FA" w:rsidP="002E08FA">
      <w:pPr>
        <w:rPr>
          <w:lang w:val="en-GB"/>
        </w:rPr>
      </w:pPr>
      <w:r w:rsidRPr="002E08FA">
        <w:rPr>
          <w:lang w:val="en-GB"/>
        </w:rPr>
        <w:t xml:space="preserve">Lowe et al. (2024) strengthens applicability to U.S. ambulatory care because the study was conducted within a large health system, although it was not psychiatry-specific. </w:t>
      </w:r>
      <w:proofErr w:type="spellStart"/>
      <w:r w:rsidRPr="002E08FA">
        <w:rPr>
          <w:lang w:val="en-GB"/>
        </w:rPr>
        <w:t>Putnikovic</w:t>
      </w:r>
      <w:proofErr w:type="spellEnd"/>
      <w:r w:rsidRPr="002E08FA">
        <w:rPr>
          <w:lang w:val="en-GB"/>
        </w:rPr>
        <w:t xml:space="preserve"> et al. (2022) offer broader external validity through a systematic synthesis across multiple settings but included heterogeneous medications and populations. Zhu et al. (2021) provided the strongest internal rigor for psychiatric outcomes by synthesizing randomized controlled trials, but they were not specific to citalopram, QTc surveillance, or a nurse-led outpatient intervention. Thus, the evidence reflects a trade-off between methodological rigor and direct relevance to practice. The Level I </w:t>
      </w:r>
      <w:proofErr w:type="gramStart"/>
      <w:r w:rsidRPr="002E08FA">
        <w:rPr>
          <w:lang w:val="en-GB"/>
        </w:rPr>
        <w:t>studies</w:t>
      </w:r>
      <w:proofErr w:type="gramEnd"/>
      <w:r w:rsidRPr="002E08FA">
        <w:rPr>
          <w:lang w:val="en-GB"/>
        </w:rPr>
        <w:t xml:space="preserve"> provide stronger internal validity, while the outpatient observational and QI studies more closely match the proposed clinical setting (Hawkins, 2023; Lowe et al., 2024; </w:t>
      </w:r>
      <w:proofErr w:type="spellStart"/>
      <w:r w:rsidRPr="002E08FA">
        <w:rPr>
          <w:lang w:val="en-GB"/>
        </w:rPr>
        <w:t>Putnikovic</w:t>
      </w:r>
      <w:proofErr w:type="spellEnd"/>
      <w:r w:rsidRPr="002E08FA">
        <w:rPr>
          <w:lang w:val="en-GB"/>
        </w:rPr>
        <w:t xml:space="preserve"> et al., 2022; Zhu et al., 2021).</w:t>
      </w:r>
    </w:p>
    <w:p w:rsidR="002E08FA" w:rsidRPr="002E08FA" w:rsidRDefault="002E08FA" w:rsidP="002E08FA">
      <w:pPr>
        <w:rPr>
          <w:lang w:val="en-GB"/>
        </w:rPr>
      </w:pPr>
      <w:r w:rsidRPr="002E08FA">
        <w:rPr>
          <w:b/>
          <w:bCs/>
          <w:lang w:val="en-GB"/>
        </w:rPr>
        <w:t>                                                   Conclusion</w:t>
      </w:r>
    </w:p>
    <w:p w:rsidR="002E08FA" w:rsidRPr="002E08FA" w:rsidRDefault="002E08FA" w:rsidP="002E08FA">
      <w:pPr>
        <w:rPr>
          <w:lang w:val="en-GB"/>
        </w:rPr>
      </w:pPr>
      <w:r w:rsidRPr="002E08FA">
        <w:rPr>
          <w:lang w:val="en-GB"/>
        </w:rPr>
        <w:t>Across the studies, the strongest pattern was that structured monitoring improves objective assessment while important surveillance gaps persist in outpatient and ambulatory practice. The evidence supports ECG monitoring when QTc risk is present and supports standardized measurement of depressive symptoms during treatment. As noted across the studies, the literature remains fragmented. Cardiac-safety studies rarely evaluate psychiatric outcomes, while depression-monitoring studies do not assess QTc surveillance. Equity and nurse-led implementation in outpatient psychiatry are also underrepresented. The synthesis aligns the evidence matrix with the PICOT objectives. It establishes evidence fidelity, and the findings support a nurse-led, individualized approach to citalopram dose reduction based on AHA-indicated ECG risk monitoring over three months, while highlighting convergence on effectiveness, feasibility, equity, and setting, as well as knowledge gaps.</w:t>
      </w:r>
    </w:p>
    <w:p w:rsidR="002E08FA" w:rsidRPr="002E08FA" w:rsidRDefault="002E08FA" w:rsidP="002E08FA">
      <w:pPr>
        <w:rPr>
          <w:lang w:val="en-GB"/>
        </w:rPr>
      </w:pPr>
      <w:r w:rsidRPr="002E08FA">
        <w:rPr>
          <w:b/>
          <w:bCs/>
          <w:lang w:val="en-GB"/>
        </w:rPr>
        <w:t> </w:t>
      </w:r>
    </w:p>
    <w:p w:rsidR="002E08FA" w:rsidRPr="002E08FA" w:rsidRDefault="002E08FA" w:rsidP="002E08FA">
      <w:pPr>
        <w:rPr>
          <w:lang w:val="en-GB"/>
        </w:rPr>
      </w:pPr>
      <w:r w:rsidRPr="002E08FA">
        <w:rPr>
          <w:b/>
          <w:bCs/>
          <w:lang w:val="en-GB"/>
        </w:rPr>
        <w:t>                                                      References</w:t>
      </w:r>
    </w:p>
    <w:p w:rsidR="002E08FA" w:rsidRPr="002E08FA" w:rsidRDefault="002E08FA" w:rsidP="002E08FA">
      <w:pPr>
        <w:rPr>
          <w:lang w:val="en-GB"/>
        </w:rPr>
      </w:pPr>
      <w:r w:rsidRPr="002E08FA">
        <w:rPr>
          <w:b/>
          <w:bCs/>
          <w:lang w:val="en-GB"/>
        </w:rPr>
        <w:t> </w:t>
      </w:r>
    </w:p>
    <w:p w:rsidR="002E08FA" w:rsidRPr="002E08FA" w:rsidRDefault="002E08FA" w:rsidP="002E08FA">
      <w:pPr>
        <w:rPr>
          <w:lang w:val="en-GB"/>
        </w:rPr>
      </w:pPr>
      <w:proofErr w:type="spellStart"/>
      <w:r w:rsidRPr="002E08FA">
        <w:rPr>
          <w:lang w:val="en-GB"/>
        </w:rPr>
        <w:t>Bulatova</w:t>
      </w:r>
      <w:proofErr w:type="spellEnd"/>
      <w:r w:rsidRPr="002E08FA">
        <w:rPr>
          <w:lang w:val="en-GB"/>
        </w:rPr>
        <w:t xml:space="preserve">, N., </w:t>
      </w:r>
      <w:proofErr w:type="spellStart"/>
      <w:r w:rsidRPr="002E08FA">
        <w:rPr>
          <w:lang w:val="en-GB"/>
        </w:rPr>
        <w:t>Altaher</w:t>
      </w:r>
      <w:proofErr w:type="spellEnd"/>
      <w:r w:rsidRPr="002E08FA">
        <w:rPr>
          <w:lang w:val="en-GB"/>
        </w:rPr>
        <w:t xml:space="preserve">, N., </w:t>
      </w:r>
      <w:proofErr w:type="spellStart"/>
      <w:r w:rsidRPr="002E08FA">
        <w:rPr>
          <w:lang w:val="en-GB"/>
        </w:rPr>
        <w:t>BaniMustafa</w:t>
      </w:r>
      <w:proofErr w:type="spellEnd"/>
      <w:r w:rsidRPr="002E08FA">
        <w:rPr>
          <w:lang w:val="en-GB"/>
        </w:rPr>
        <w:t xml:space="preserve">, R. A., Al-Saleh, A., Yasin, H., </w:t>
      </w:r>
      <w:proofErr w:type="spellStart"/>
      <w:r w:rsidRPr="002E08FA">
        <w:rPr>
          <w:lang w:val="en-GB"/>
        </w:rPr>
        <w:t>Zawiah</w:t>
      </w:r>
      <w:proofErr w:type="spellEnd"/>
      <w:r w:rsidRPr="002E08FA">
        <w:rPr>
          <w:lang w:val="en-GB"/>
        </w:rPr>
        <w:t xml:space="preserve">, M., </w:t>
      </w:r>
      <w:proofErr w:type="spellStart"/>
      <w:r w:rsidRPr="002E08FA">
        <w:rPr>
          <w:lang w:val="en-GB"/>
        </w:rPr>
        <w:t>Khalefah</w:t>
      </w:r>
      <w:proofErr w:type="spellEnd"/>
      <w:r w:rsidRPr="002E08FA">
        <w:rPr>
          <w:lang w:val="en-GB"/>
        </w:rPr>
        <w:t>, H. M., Younes, S., Al-</w:t>
      </w:r>
      <w:proofErr w:type="spellStart"/>
      <w:r w:rsidRPr="002E08FA">
        <w:rPr>
          <w:lang w:val="en-GB"/>
        </w:rPr>
        <w:t>Lahham</w:t>
      </w:r>
      <w:proofErr w:type="spellEnd"/>
      <w:r w:rsidRPr="002E08FA">
        <w:rPr>
          <w:lang w:val="en-GB"/>
        </w:rPr>
        <w:t xml:space="preserve">, A. J., </w:t>
      </w:r>
      <w:proofErr w:type="spellStart"/>
      <w:r w:rsidRPr="002E08FA">
        <w:rPr>
          <w:lang w:val="en-GB"/>
        </w:rPr>
        <w:t>Hudaib</w:t>
      </w:r>
      <w:proofErr w:type="spellEnd"/>
      <w:r w:rsidRPr="002E08FA">
        <w:rPr>
          <w:lang w:val="en-GB"/>
        </w:rPr>
        <w:t xml:space="preserve">, M. I., </w:t>
      </w:r>
      <w:proofErr w:type="spellStart"/>
      <w:r w:rsidRPr="002E08FA">
        <w:rPr>
          <w:lang w:val="en-GB"/>
        </w:rPr>
        <w:t>Ghilan</w:t>
      </w:r>
      <w:proofErr w:type="spellEnd"/>
      <w:r w:rsidRPr="002E08FA">
        <w:rPr>
          <w:lang w:val="en-GB"/>
        </w:rPr>
        <w:t xml:space="preserve">, M. A., </w:t>
      </w:r>
      <w:proofErr w:type="spellStart"/>
      <w:r w:rsidRPr="002E08FA">
        <w:rPr>
          <w:lang w:val="en-GB"/>
        </w:rPr>
        <w:t>AlKhawaldeh</w:t>
      </w:r>
      <w:proofErr w:type="spellEnd"/>
      <w:r w:rsidRPr="002E08FA">
        <w:rPr>
          <w:lang w:val="en-GB"/>
        </w:rPr>
        <w:t xml:space="preserve">, B., &amp; </w:t>
      </w:r>
      <w:proofErr w:type="spellStart"/>
      <w:r w:rsidRPr="002E08FA">
        <w:rPr>
          <w:lang w:val="en-GB"/>
        </w:rPr>
        <w:t>Twaissi</w:t>
      </w:r>
      <w:proofErr w:type="spellEnd"/>
      <w:r w:rsidRPr="002E08FA">
        <w:rPr>
          <w:lang w:val="en-GB"/>
        </w:rPr>
        <w:t>, A. A. (2021)</w:t>
      </w:r>
      <w:r w:rsidRPr="002E08FA">
        <w:rPr>
          <w:b/>
          <w:bCs/>
          <w:lang w:val="en-GB"/>
        </w:rPr>
        <w:t>.</w:t>
      </w:r>
      <w:r w:rsidRPr="002E08FA">
        <w:rPr>
          <w:lang w:val="en-GB"/>
        </w:rPr>
        <w:t> The effect of psychotropic medications and their combinations on the QTc interval among Jordanian outpatients: A cross-sectional study. </w:t>
      </w:r>
      <w:r w:rsidRPr="002E08FA">
        <w:rPr>
          <w:i/>
          <w:iCs/>
          <w:lang w:val="en-GB"/>
        </w:rPr>
        <w:t>Alpha Psychiatry, 22</w:t>
      </w:r>
      <w:r w:rsidRPr="002E08FA">
        <w:rPr>
          <w:lang w:val="en-GB"/>
        </w:rPr>
        <w:t>(4), 177–184. https://doi.org/10.5152/alphapsychiatry.2021.21113</w:t>
      </w:r>
    </w:p>
    <w:p w:rsidR="002E08FA" w:rsidRPr="002E08FA" w:rsidRDefault="002E08FA" w:rsidP="002E08FA">
      <w:pPr>
        <w:rPr>
          <w:lang w:val="en-GB"/>
        </w:rPr>
      </w:pPr>
      <w:r w:rsidRPr="002E08FA">
        <w:rPr>
          <w:lang w:val="en-GB"/>
        </w:rPr>
        <w:t>Harris, J. L., Roussel, L. A., Dearman, C., &amp; Thomas, P. L. (Eds.). (2023). </w:t>
      </w:r>
      <w:r w:rsidRPr="002E08FA">
        <w:rPr>
          <w:i/>
          <w:iCs/>
          <w:lang w:val="en-GB"/>
        </w:rPr>
        <w:t>Project planning, implementation, and evaluation: A guide for nurses and interprofessional teams</w:t>
      </w:r>
      <w:r w:rsidRPr="002E08FA">
        <w:rPr>
          <w:lang w:val="en-GB"/>
        </w:rPr>
        <w:t> (4th ed.). Jones &amp; Bartlett Learning.</w:t>
      </w:r>
    </w:p>
    <w:p w:rsidR="002E08FA" w:rsidRPr="002E08FA" w:rsidRDefault="002E08FA" w:rsidP="002E08FA">
      <w:pPr>
        <w:rPr>
          <w:lang w:val="en-GB"/>
        </w:rPr>
      </w:pPr>
      <w:r w:rsidRPr="002E08FA">
        <w:rPr>
          <w:lang w:val="en-GB"/>
        </w:rPr>
        <w:t>Hawkins, M. (2023). Improving the Rates of Objective Monitoring of Patients with Depression with the PHQ-9 in an Outpatient Psychiatry Clinic: A Quality Improvement Initiative. </w:t>
      </w:r>
      <w:r w:rsidRPr="002E08FA">
        <w:rPr>
          <w:i/>
          <w:iCs/>
          <w:lang w:val="en-GB"/>
        </w:rPr>
        <w:t>The Joint Commission Journal on Quality and Patient Safety, 49</w:t>
      </w:r>
      <w:r w:rsidRPr="002E08FA">
        <w:rPr>
          <w:lang w:val="en-GB"/>
        </w:rPr>
        <w:t>(3), 149–155. </w:t>
      </w:r>
      <w:hyperlink r:id="rId4" w:history="1">
        <w:r w:rsidRPr="002E08FA">
          <w:rPr>
            <w:rStyle w:val="Hyperlink"/>
            <w:lang w:val="en-GB"/>
          </w:rPr>
          <w:t>https://doi.org/10.1016/j.jcjq.2023.01.001</w:t>
        </w:r>
      </w:hyperlink>
    </w:p>
    <w:p w:rsidR="002E08FA" w:rsidRPr="002E08FA" w:rsidRDefault="002E08FA" w:rsidP="002E08FA">
      <w:pPr>
        <w:rPr>
          <w:lang w:val="en-GB"/>
        </w:rPr>
      </w:pPr>
      <w:r w:rsidRPr="002E08FA">
        <w:rPr>
          <w:lang w:val="en-GB"/>
        </w:rPr>
        <w:t xml:space="preserve">Lowe, R. N., Wright, G., Olivas, L., Teel, C., Suresh, K., Macke, L. B., </w:t>
      </w:r>
      <w:proofErr w:type="spellStart"/>
      <w:r w:rsidRPr="002E08FA">
        <w:rPr>
          <w:lang w:val="en-GB"/>
        </w:rPr>
        <w:t>Sieja</w:t>
      </w:r>
      <w:proofErr w:type="spellEnd"/>
      <w:r w:rsidRPr="002E08FA">
        <w:rPr>
          <w:lang w:val="en-GB"/>
        </w:rPr>
        <w:t xml:space="preserve">, A., Rosenberg, M. A., &amp; </w:t>
      </w:r>
      <w:proofErr w:type="spellStart"/>
      <w:r w:rsidRPr="002E08FA">
        <w:rPr>
          <w:lang w:val="en-GB"/>
        </w:rPr>
        <w:t>Trinkley</w:t>
      </w:r>
      <w:proofErr w:type="spellEnd"/>
      <w:r w:rsidRPr="002E08FA">
        <w:rPr>
          <w:lang w:val="en-GB"/>
        </w:rPr>
        <w:t>, K. E. (2024). Evaluating the prescribing and monitoring of medications associated with QTc-prolongation in the ambulatory care setting. </w:t>
      </w:r>
      <w:r w:rsidRPr="002E08FA">
        <w:rPr>
          <w:i/>
          <w:iCs/>
          <w:lang w:val="en-GB"/>
        </w:rPr>
        <w:t>Journal of Evaluation in Clinical Practice, 30</w:t>
      </w:r>
      <w:r w:rsidRPr="002E08FA">
        <w:rPr>
          <w:lang w:val="en-GB"/>
        </w:rPr>
        <w:t>(3), 385–392. https://doi.org/10.1111/jep.13949</w:t>
      </w:r>
    </w:p>
    <w:p w:rsidR="002E08FA" w:rsidRPr="002E08FA" w:rsidRDefault="002E08FA" w:rsidP="002E08FA">
      <w:pPr>
        <w:rPr>
          <w:lang w:val="en-GB"/>
        </w:rPr>
      </w:pPr>
      <w:proofErr w:type="spellStart"/>
      <w:r w:rsidRPr="002E08FA">
        <w:rPr>
          <w:lang w:val="en-GB"/>
        </w:rPr>
        <w:t>Putnikovic</w:t>
      </w:r>
      <w:proofErr w:type="spellEnd"/>
      <w:r w:rsidRPr="002E08FA">
        <w:rPr>
          <w:lang w:val="en-GB"/>
        </w:rPr>
        <w:t>, M., Jordan, Z., Munn, Z., Borg, C., &amp; Ward, M. (2022). Use of electrocardiogram monitoring in adult patients taking high-risk QT interval prolonging medicines in clinical practice: Systematic review and meta-analysis. </w:t>
      </w:r>
      <w:r w:rsidRPr="002E08FA">
        <w:rPr>
          <w:i/>
          <w:iCs/>
          <w:lang w:val="en-GB"/>
        </w:rPr>
        <w:t>Drug Safety, 45</w:t>
      </w:r>
      <w:r w:rsidRPr="002E08FA">
        <w:rPr>
          <w:lang w:val="en-GB"/>
        </w:rPr>
        <w:t>, 1037–1048. https://doi.org/10.1007/s40264-022-01215-x</w:t>
      </w:r>
    </w:p>
    <w:p w:rsidR="002E08FA" w:rsidRPr="002E08FA" w:rsidRDefault="002E08FA" w:rsidP="002E08FA">
      <w:pPr>
        <w:rPr>
          <w:lang w:val="en-GB"/>
        </w:rPr>
      </w:pPr>
      <w:r w:rsidRPr="002E08FA">
        <w:rPr>
          <w:lang w:val="en-GB"/>
        </w:rPr>
        <w:lastRenderedPageBreak/>
        <w:t xml:space="preserve">Zhu, M., Hong, R. H., Yang, T., Yang, X., Wang, X., Liu, J., Murphy, J. K., Michalak, E. E., Wang, Z., </w:t>
      </w:r>
      <w:proofErr w:type="spellStart"/>
      <w:r w:rsidRPr="002E08FA">
        <w:rPr>
          <w:lang w:val="en-GB"/>
        </w:rPr>
        <w:t>Yatham</w:t>
      </w:r>
      <w:proofErr w:type="spellEnd"/>
      <w:r w:rsidRPr="002E08FA">
        <w:rPr>
          <w:lang w:val="en-GB"/>
        </w:rPr>
        <w:t>, L. N., Chen, J., &amp; Lam, R. W. (2021). The efficacy of measurement-based care for depressive disorders: Systematic review and meta-analysis of randomized controlled trials. </w:t>
      </w:r>
      <w:r w:rsidRPr="002E08FA">
        <w:rPr>
          <w:i/>
          <w:iCs/>
          <w:lang w:val="en-GB"/>
        </w:rPr>
        <w:t>The Journal of Clinical Psychiatry, 82</w:t>
      </w:r>
      <w:r w:rsidRPr="002E08FA">
        <w:rPr>
          <w:lang w:val="en-GB"/>
        </w:rPr>
        <w:t>(5), 21r14034. </w:t>
      </w:r>
      <w:hyperlink r:id="rId5" w:history="1">
        <w:r w:rsidRPr="002E08FA">
          <w:rPr>
            <w:rStyle w:val="Hyperlink"/>
            <w:lang w:val="en-GB"/>
          </w:rPr>
          <w:t>https://doi.org/10.4088/JCP.21r14034</w:t>
        </w:r>
      </w:hyperlink>
    </w:p>
    <w:p w:rsidR="002E08FA" w:rsidRPr="002E08FA" w:rsidRDefault="002E08FA" w:rsidP="002E08FA">
      <w:pPr>
        <w:rPr>
          <w:lang w:val="en-GB"/>
        </w:rPr>
      </w:pPr>
      <w:r w:rsidRPr="002E08FA">
        <w:rPr>
          <w:lang w:val="en-GB"/>
        </w:rPr>
        <w:t> </w:t>
      </w:r>
    </w:p>
    <w:p w:rsidR="00B9358F" w:rsidRDefault="002E08FA">
      <w:r>
        <w:t>Response 2: Sims</w:t>
      </w:r>
    </w:p>
    <w:p w:rsidR="002E08FA" w:rsidRPr="002E08FA" w:rsidRDefault="002E08FA" w:rsidP="002E08FA">
      <w:pPr>
        <w:rPr>
          <w:lang w:val="en-GB"/>
        </w:rPr>
      </w:pPr>
      <w:r w:rsidRPr="002E08FA">
        <w:rPr>
          <w:i/>
          <w:iCs/>
          <w:lang w:val="en-GB"/>
        </w:rPr>
        <w:t>Literature Review </w:t>
      </w:r>
    </w:p>
    <w:p w:rsidR="002E08FA" w:rsidRPr="002E08FA" w:rsidRDefault="002E08FA" w:rsidP="002E08FA">
      <w:pPr>
        <w:rPr>
          <w:lang w:val="en-GB"/>
        </w:rPr>
      </w:pPr>
      <w:r w:rsidRPr="002E08FA">
        <w:rPr>
          <w:b/>
          <w:bCs/>
          <w:lang w:val="en-GB"/>
        </w:rPr>
        <w:t>Group Collaboration</w:t>
      </w:r>
    </w:p>
    <w:p w:rsidR="002E08FA" w:rsidRPr="002E08FA" w:rsidRDefault="002E08FA" w:rsidP="002E08FA">
      <w:pPr>
        <w:rPr>
          <w:lang w:val="en-GB"/>
        </w:rPr>
      </w:pPr>
      <w:r w:rsidRPr="002E08FA">
        <w:rPr>
          <w:lang w:val="en-GB"/>
        </w:rPr>
        <w:t xml:space="preserve">      Group </w:t>
      </w:r>
      <w:proofErr w:type="gramStart"/>
      <w:r w:rsidRPr="002E08FA">
        <w:rPr>
          <w:lang w:val="en-GB"/>
        </w:rPr>
        <w:t>settings  of</w:t>
      </w:r>
      <w:proofErr w:type="gramEnd"/>
      <w:r w:rsidRPr="002E08FA">
        <w:rPr>
          <w:lang w:val="en-GB"/>
        </w:rPr>
        <w:t xml:space="preserve"> multiple participants  can increase the learning objective and improve the outcome. Group collaboration is culturally adaptable (Maina et </w:t>
      </w:r>
      <w:proofErr w:type="gramStart"/>
      <w:r w:rsidRPr="002E08FA">
        <w:rPr>
          <w:lang w:val="en-GB"/>
        </w:rPr>
        <w:t>al .</w:t>
      </w:r>
      <w:proofErr w:type="gramEnd"/>
      <w:r w:rsidRPr="002E08FA">
        <w:rPr>
          <w:lang w:val="en-GB"/>
        </w:rPr>
        <w:t xml:space="preserve">, 2025),  an allows participants to engage with patients with similar health concerns. The studies showed that a decrease in </w:t>
      </w:r>
      <w:proofErr w:type="spellStart"/>
      <w:r w:rsidRPr="002E08FA">
        <w:rPr>
          <w:lang w:val="en-GB"/>
        </w:rPr>
        <w:t>glycemic</w:t>
      </w:r>
      <w:proofErr w:type="spellEnd"/>
      <w:r w:rsidRPr="002E08FA">
        <w:rPr>
          <w:lang w:val="en-GB"/>
        </w:rPr>
        <w:t xml:space="preserve"> control improved greatly with focused groups. The strongest dynamics included peer-led and coach-facilitated </w:t>
      </w:r>
      <w:proofErr w:type="gramStart"/>
      <w:r w:rsidRPr="002E08FA">
        <w:rPr>
          <w:lang w:val="en-GB"/>
        </w:rPr>
        <w:t>groups .</w:t>
      </w:r>
      <w:proofErr w:type="gramEnd"/>
      <w:r w:rsidRPr="002E08FA">
        <w:rPr>
          <w:lang w:val="en-GB"/>
        </w:rPr>
        <w:t xml:space="preserve"> Participants felt safe as well as supported and adapted a sense of belonging. </w:t>
      </w:r>
      <w:proofErr w:type="gramStart"/>
      <w:r w:rsidRPr="002E08FA">
        <w:rPr>
          <w:lang w:val="en-GB"/>
        </w:rPr>
        <w:t>( King</w:t>
      </w:r>
      <w:proofErr w:type="gramEnd"/>
      <w:r w:rsidRPr="002E08FA">
        <w:rPr>
          <w:lang w:val="en-GB"/>
        </w:rPr>
        <w:t xml:space="preserve"> et al., 2023).  However not all approaches were </w:t>
      </w:r>
      <w:proofErr w:type="gramStart"/>
      <w:r w:rsidRPr="002E08FA">
        <w:rPr>
          <w:lang w:val="en-GB"/>
        </w:rPr>
        <w:t>effective ,</w:t>
      </w:r>
      <w:proofErr w:type="gramEnd"/>
      <w:r w:rsidRPr="002E08FA">
        <w:rPr>
          <w:lang w:val="en-GB"/>
        </w:rPr>
        <w:t xml:space="preserve"> when group settings were modified to be virtual or using videoconferencing, this created a disconnect with the group . (King et al., 2023</w:t>
      </w:r>
      <w:proofErr w:type="gramStart"/>
      <w:r w:rsidRPr="002E08FA">
        <w:rPr>
          <w:lang w:val="en-GB"/>
        </w:rPr>
        <w:t>) .</w:t>
      </w:r>
      <w:proofErr w:type="gramEnd"/>
      <w:r w:rsidRPr="002E08FA">
        <w:rPr>
          <w:lang w:val="en-GB"/>
        </w:rPr>
        <w:t xml:space="preserve"> Even though Videoconferencing seems to be a more convenient </w:t>
      </w:r>
      <w:proofErr w:type="gramStart"/>
      <w:r w:rsidRPr="002E08FA">
        <w:rPr>
          <w:lang w:val="en-GB"/>
        </w:rPr>
        <w:t>way ,</w:t>
      </w:r>
      <w:proofErr w:type="gramEnd"/>
      <w:r w:rsidRPr="002E08FA">
        <w:rPr>
          <w:lang w:val="en-GB"/>
        </w:rPr>
        <w:t xml:space="preserve"> ultimately the results highlighted that face to face increased better consents. This interpersonal approach has a high prevalence of obtaining patient compliance. To change the current </w:t>
      </w:r>
      <w:proofErr w:type="gramStart"/>
      <w:r w:rsidRPr="002E08FA">
        <w:rPr>
          <w:lang w:val="en-GB"/>
        </w:rPr>
        <w:t>practice ,</w:t>
      </w:r>
      <w:proofErr w:type="gramEnd"/>
      <w:r w:rsidRPr="002E08FA">
        <w:rPr>
          <w:lang w:val="en-GB"/>
        </w:rPr>
        <w:t xml:space="preserve"> focusing on group collaboration will be the main goal to  improved </w:t>
      </w:r>
      <w:proofErr w:type="spellStart"/>
      <w:r w:rsidRPr="002E08FA">
        <w:rPr>
          <w:lang w:val="en-GB"/>
        </w:rPr>
        <w:t>glycemic</w:t>
      </w:r>
      <w:proofErr w:type="spellEnd"/>
      <w:r w:rsidRPr="002E08FA">
        <w:rPr>
          <w:lang w:val="en-GB"/>
        </w:rPr>
        <w:t xml:space="preserve"> control .  This key factor contributes to the direction and approach to navigating the project </w:t>
      </w:r>
      <w:proofErr w:type="gramStart"/>
      <w:r w:rsidRPr="002E08FA">
        <w:rPr>
          <w:lang w:val="en-GB"/>
        </w:rPr>
        <w:t>question ,</w:t>
      </w:r>
      <w:proofErr w:type="gramEnd"/>
      <w:r w:rsidRPr="002E08FA">
        <w:rPr>
          <w:lang w:val="en-GB"/>
        </w:rPr>
        <w:t xml:space="preserve"> “ Implementing interventions to improve compliance with self-management of diabetes among adults in rural areas.”</w:t>
      </w:r>
    </w:p>
    <w:p w:rsidR="002E08FA" w:rsidRPr="002E08FA" w:rsidRDefault="002E08FA" w:rsidP="002E08FA">
      <w:pPr>
        <w:rPr>
          <w:lang w:val="en-GB"/>
        </w:rPr>
      </w:pPr>
      <w:r w:rsidRPr="002E08FA">
        <w:rPr>
          <w:b/>
          <w:bCs/>
          <w:lang w:val="en-GB"/>
        </w:rPr>
        <w:t>Family and Social Support</w:t>
      </w:r>
    </w:p>
    <w:p w:rsidR="002E08FA" w:rsidRPr="002E08FA" w:rsidRDefault="002E08FA" w:rsidP="002E08FA">
      <w:pPr>
        <w:rPr>
          <w:lang w:val="en-GB"/>
        </w:rPr>
      </w:pPr>
      <w:r w:rsidRPr="002E08FA">
        <w:rPr>
          <w:lang w:val="en-GB"/>
        </w:rPr>
        <w:t xml:space="preserve">               Tackling health concerns alone can produce barriers and decrease the stress that may </w:t>
      </w:r>
      <w:proofErr w:type="gramStart"/>
      <w:r w:rsidRPr="002E08FA">
        <w:rPr>
          <w:lang w:val="en-GB"/>
        </w:rPr>
        <w:t>accumulate .</w:t>
      </w:r>
      <w:proofErr w:type="gramEnd"/>
      <w:r w:rsidRPr="002E08FA">
        <w:rPr>
          <w:lang w:val="en-GB"/>
        </w:rPr>
        <w:t xml:space="preserve"> The literature suggest that family and social support plays a major part in helping adapt to change.  Common barriers faced along the journey include inconsistent family support </w:t>
      </w:r>
      <w:proofErr w:type="gramStart"/>
      <w:r w:rsidRPr="002E08FA">
        <w:rPr>
          <w:lang w:val="en-GB"/>
        </w:rPr>
        <w:t>( Mohammadi</w:t>
      </w:r>
      <w:proofErr w:type="gramEnd"/>
      <w:r w:rsidRPr="002E08FA">
        <w:rPr>
          <w:lang w:val="en-GB"/>
        </w:rPr>
        <w:t xml:space="preserve"> et al., 2026). The literature explains that family history of chronic conditions predisposes a patient to </w:t>
      </w:r>
      <w:proofErr w:type="gramStart"/>
      <w:r w:rsidRPr="002E08FA">
        <w:rPr>
          <w:lang w:val="en-GB"/>
        </w:rPr>
        <w:t>diseases ,</w:t>
      </w:r>
      <w:proofErr w:type="gramEnd"/>
      <w:r w:rsidRPr="002E08FA">
        <w:rPr>
          <w:lang w:val="en-GB"/>
        </w:rPr>
        <w:t xml:space="preserve"> with a strong association with Type 2 Diabetes (Ofosu et al., 2026).  The commitment of collaboration of both family and participant is not included in the </w:t>
      </w:r>
      <w:proofErr w:type="gramStart"/>
      <w:r w:rsidRPr="002E08FA">
        <w:rPr>
          <w:lang w:val="en-GB"/>
        </w:rPr>
        <w:t>literature ,</w:t>
      </w:r>
      <w:proofErr w:type="gramEnd"/>
      <w:r w:rsidRPr="002E08FA">
        <w:rPr>
          <w:lang w:val="en-GB"/>
        </w:rPr>
        <w:t xml:space="preserve"> however diabetes educational tools are design to encourage family support in collectively improving health . The studies all related by showing a strong correlation with support and positive outcomes.  If the family dynamics are not </w:t>
      </w:r>
      <w:proofErr w:type="gramStart"/>
      <w:r w:rsidRPr="002E08FA">
        <w:rPr>
          <w:lang w:val="en-GB"/>
        </w:rPr>
        <w:t>there ,</w:t>
      </w:r>
      <w:proofErr w:type="gramEnd"/>
      <w:r w:rsidRPr="002E08FA">
        <w:rPr>
          <w:lang w:val="en-GB"/>
        </w:rPr>
        <w:t xml:space="preserve"> </w:t>
      </w:r>
      <w:proofErr w:type="spellStart"/>
      <w:r w:rsidRPr="002E08FA">
        <w:rPr>
          <w:lang w:val="en-GB"/>
        </w:rPr>
        <w:t>Muchiri</w:t>
      </w:r>
      <w:proofErr w:type="spellEnd"/>
      <w:r w:rsidRPr="002E08FA">
        <w:rPr>
          <w:lang w:val="en-GB"/>
        </w:rPr>
        <w:t xml:space="preserve"> (2024) stated that being in a group provides the social support and assisted in reducing stress. The gap may be family with similar health concerns that may impede compliance due to different medical approach or even a lack of education or understanding of the disease process. The literature reveals that </w:t>
      </w:r>
      <w:proofErr w:type="gramStart"/>
      <w:r w:rsidRPr="002E08FA">
        <w:rPr>
          <w:lang w:val="en-GB"/>
        </w:rPr>
        <w:t>overall ,</w:t>
      </w:r>
      <w:proofErr w:type="gramEnd"/>
      <w:r w:rsidRPr="002E08FA">
        <w:rPr>
          <w:lang w:val="en-GB"/>
        </w:rPr>
        <w:t xml:space="preserve"> support plays a role in personal barriers that develop, and decrease noncompliance then when  alone . Including family when scheduling appointments or giving all parties meeting dates and times will be one of the practice interventions </w:t>
      </w:r>
      <w:proofErr w:type="gramStart"/>
      <w:r w:rsidRPr="002E08FA">
        <w:rPr>
          <w:lang w:val="en-GB"/>
        </w:rPr>
        <w:t>changes .</w:t>
      </w:r>
      <w:proofErr w:type="gramEnd"/>
      <w:r w:rsidRPr="002E08FA">
        <w:rPr>
          <w:lang w:val="en-GB"/>
        </w:rPr>
        <w:t xml:space="preserve">  </w:t>
      </w:r>
      <w:proofErr w:type="gramStart"/>
      <w:r w:rsidRPr="002E08FA">
        <w:rPr>
          <w:lang w:val="en-GB"/>
        </w:rPr>
        <w:t>Implementing  interventions</w:t>
      </w:r>
      <w:proofErr w:type="gramEnd"/>
      <w:r w:rsidRPr="002E08FA">
        <w:rPr>
          <w:lang w:val="en-GB"/>
        </w:rPr>
        <w:t xml:space="preserve"> will include family dynamics to produce better self-management of diabetes in rural communities .</w:t>
      </w:r>
    </w:p>
    <w:p w:rsidR="002E08FA" w:rsidRPr="002E08FA" w:rsidRDefault="002E08FA" w:rsidP="002E08FA">
      <w:pPr>
        <w:rPr>
          <w:lang w:val="en-GB"/>
        </w:rPr>
      </w:pPr>
      <w:r w:rsidRPr="002E08FA">
        <w:rPr>
          <w:b/>
          <w:bCs/>
          <w:lang w:val="en-GB"/>
        </w:rPr>
        <w:t>Motivational Drive</w:t>
      </w:r>
    </w:p>
    <w:p w:rsidR="002E08FA" w:rsidRPr="002E08FA" w:rsidRDefault="002E08FA" w:rsidP="002E08FA">
      <w:pPr>
        <w:rPr>
          <w:lang w:val="en-GB"/>
        </w:rPr>
      </w:pPr>
      <w:r w:rsidRPr="002E08FA">
        <w:rPr>
          <w:lang w:val="en-GB"/>
        </w:rPr>
        <w:t xml:space="preserve">               The motivational drive was the same across all </w:t>
      </w:r>
      <w:proofErr w:type="gramStart"/>
      <w:r w:rsidRPr="002E08FA">
        <w:rPr>
          <w:lang w:val="en-GB"/>
        </w:rPr>
        <w:t>studies .</w:t>
      </w:r>
      <w:proofErr w:type="gramEnd"/>
      <w:r w:rsidRPr="002E08FA">
        <w:rPr>
          <w:lang w:val="en-GB"/>
        </w:rPr>
        <w:t xml:space="preserve"> To produce the positive </w:t>
      </w:r>
      <w:proofErr w:type="gramStart"/>
      <w:r w:rsidRPr="002E08FA">
        <w:rPr>
          <w:lang w:val="en-GB"/>
        </w:rPr>
        <w:t>outcomes ,</w:t>
      </w:r>
      <w:proofErr w:type="gramEnd"/>
      <w:r w:rsidRPr="002E08FA">
        <w:rPr>
          <w:lang w:val="en-GB"/>
        </w:rPr>
        <w:t xml:space="preserve"> there had to be a reason  or purpose to keep going . When focusing on a multi problem disease like </w:t>
      </w:r>
      <w:proofErr w:type="gramStart"/>
      <w:r w:rsidRPr="002E08FA">
        <w:rPr>
          <w:lang w:val="en-GB"/>
        </w:rPr>
        <w:t>diabetes ,</w:t>
      </w:r>
      <w:proofErr w:type="gramEnd"/>
      <w:r w:rsidRPr="002E08FA">
        <w:rPr>
          <w:lang w:val="en-GB"/>
        </w:rPr>
        <w:t xml:space="preserve"> one must be motivated to take better care of their diabetes, (</w:t>
      </w:r>
      <w:proofErr w:type="spellStart"/>
      <w:r w:rsidRPr="002E08FA">
        <w:rPr>
          <w:lang w:val="en-GB"/>
        </w:rPr>
        <w:t>Muchiri</w:t>
      </w:r>
      <w:proofErr w:type="spellEnd"/>
      <w:r w:rsidRPr="002E08FA">
        <w:rPr>
          <w:lang w:val="en-GB"/>
        </w:rPr>
        <w:t xml:space="preserve"> et al., 2024). The literature highlighted that low health literacy is correlated with poor </w:t>
      </w:r>
      <w:proofErr w:type="gramStart"/>
      <w:r w:rsidRPr="002E08FA">
        <w:rPr>
          <w:lang w:val="en-GB"/>
        </w:rPr>
        <w:t>understanding ,</w:t>
      </w:r>
      <w:proofErr w:type="gramEnd"/>
      <w:r w:rsidRPr="002E08FA">
        <w:rPr>
          <w:lang w:val="en-GB"/>
        </w:rPr>
        <w:t xml:space="preserve"> reducing self -efficiency (Mohammadi et al.,). Current target audience </w:t>
      </w:r>
      <w:r w:rsidRPr="002E08FA">
        <w:rPr>
          <w:lang w:val="en-GB"/>
        </w:rPr>
        <w:lastRenderedPageBreak/>
        <w:t xml:space="preserve">falls in this </w:t>
      </w:r>
      <w:proofErr w:type="gramStart"/>
      <w:r w:rsidRPr="002E08FA">
        <w:rPr>
          <w:lang w:val="en-GB"/>
        </w:rPr>
        <w:t>window ,</w:t>
      </w:r>
      <w:proofErr w:type="gramEnd"/>
      <w:r w:rsidRPr="002E08FA">
        <w:rPr>
          <w:lang w:val="en-GB"/>
        </w:rPr>
        <w:t xml:space="preserve"> rural areas often live far and secluded . Main focus will have to </w:t>
      </w:r>
      <w:proofErr w:type="gramStart"/>
      <w:r w:rsidRPr="002E08FA">
        <w:rPr>
          <w:lang w:val="en-GB"/>
        </w:rPr>
        <w:t>modify  interventions</w:t>
      </w:r>
      <w:proofErr w:type="gramEnd"/>
      <w:r w:rsidRPr="002E08FA">
        <w:rPr>
          <w:lang w:val="en-GB"/>
        </w:rPr>
        <w:t xml:space="preserve"> that are culturally appropriate  that will improve the motivational drive and steer improvements with self-management with patients in rural areas . The focus will outline and ensure personal values are aligned with goal setting efforts to motivate change (King et al., 2023).  The consensus concluded </w:t>
      </w:r>
      <w:proofErr w:type="gramStart"/>
      <w:r w:rsidRPr="002E08FA">
        <w:rPr>
          <w:lang w:val="en-GB"/>
        </w:rPr>
        <w:t>that  without</w:t>
      </w:r>
      <w:proofErr w:type="gramEnd"/>
      <w:r w:rsidRPr="002E08FA">
        <w:rPr>
          <w:lang w:val="en-GB"/>
        </w:rPr>
        <w:t xml:space="preserve"> motivation the participant will not improve on self-aligned management goals created to improve overall health.</w:t>
      </w:r>
    </w:p>
    <w:p w:rsidR="002E08FA" w:rsidRPr="002E08FA" w:rsidRDefault="002E08FA" w:rsidP="002E08FA">
      <w:pPr>
        <w:rPr>
          <w:lang w:val="en-GB"/>
        </w:rPr>
      </w:pPr>
      <w:r w:rsidRPr="002E08FA">
        <w:rPr>
          <w:b/>
          <w:bCs/>
          <w:lang w:val="en-GB"/>
        </w:rPr>
        <w:t>Financial burden and access</w:t>
      </w:r>
    </w:p>
    <w:p w:rsidR="002E08FA" w:rsidRPr="002E08FA" w:rsidRDefault="002E08FA" w:rsidP="002E08FA">
      <w:pPr>
        <w:rPr>
          <w:lang w:val="en-GB"/>
        </w:rPr>
      </w:pPr>
      <w:r w:rsidRPr="002E08FA">
        <w:rPr>
          <w:lang w:val="en-GB"/>
        </w:rPr>
        <w:t xml:space="preserve">               Rural areas house low income patients with limited access to health </w:t>
      </w:r>
      <w:proofErr w:type="gramStart"/>
      <w:r w:rsidRPr="002E08FA">
        <w:rPr>
          <w:lang w:val="en-GB"/>
        </w:rPr>
        <w:t>care .</w:t>
      </w:r>
      <w:proofErr w:type="gramEnd"/>
      <w:r w:rsidRPr="002E08FA">
        <w:rPr>
          <w:lang w:val="en-GB"/>
        </w:rPr>
        <w:t xml:space="preserve"> Most of the interventions discussed were cost effective and increase patient consent. Compliance and participation are key, the goal focused is to obtain cost effective resources to be accessible to low socioeconomic </w:t>
      </w:r>
      <w:proofErr w:type="gramStart"/>
      <w:r w:rsidRPr="002E08FA">
        <w:rPr>
          <w:lang w:val="en-GB"/>
        </w:rPr>
        <w:t>status .</w:t>
      </w:r>
      <w:proofErr w:type="gramEnd"/>
      <w:r w:rsidRPr="002E08FA">
        <w:rPr>
          <w:lang w:val="en-GB"/>
        </w:rPr>
        <w:t xml:space="preserve"> May investigate into digital access to be readily </w:t>
      </w:r>
      <w:proofErr w:type="gramStart"/>
      <w:r w:rsidRPr="002E08FA">
        <w:rPr>
          <w:lang w:val="en-GB"/>
        </w:rPr>
        <w:t>available .</w:t>
      </w:r>
      <w:proofErr w:type="gramEnd"/>
      <w:r w:rsidRPr="002E08FA">
        <w:rPr>
          <w:lang w:val="en-GB"/>
        </w:rPr>
        <w:t xml:space="preserve"> Although literature showed poster and pamphlets were easy to navigate and are attractive (</w:t>
      </w:r>
      <w:proofErr w:type="spellStart"/>
      <w:r w:rsidRPr="002E08FA">
        <w:rPr>
          <w:lang w:val="en-GB"/>
        </w:rPr>
        <w:t>Muchiri</w:t>
      </w:r>
      <w:proofErr w:type="spellEnd"/>
      <w:r w:rsidRPr="002E08FA">
        <w:rPr>
          <w:lang w:val="en-GB"/>
        </w:rPr>
        <w:t xml:space="preserve"> et al., 2024), digital guidelines and access may be the better </w:t>
      </w:r>
      <w:proofErr w:type="gramStart"/>
      <w:r w:rsidRPr="002E08FA">
        <w:rPr>
          <w:lang w:val="en-GB"/>
        </w:rPr>
        <w:t>approach .</w:t>
      </w:r>
      <w:proofErr w:type="gramEnd"/>
      <w:r w:rsidRPr="002E08FA">
        <w:rPr>
          <w:lang w:val="en-GB"/>
        </w:rPr>
        <w:t xml:space="preserve"> Literature does not support one being better than the </w:t>
      </w:r>
      <w:proofErr w:type="gramStart"/>
      <w:r w:rsidRPr="002E08FA">
        <w:rPr>
          <w:lang w:val="en-GB"/>
        </w:rPr>
        <w:t>other ,</w:t>
      </w:r>
      <w:proofErr w:type="gramEnd"/>
      <w:r w:rsidRPr="002E08FA">
        <w:rPr>
          <w:lang w:val="en-GB"/>
        </w:rPr>
        <w:t xml:space="preserve"> but access to QR codes into printed booklets to multimedia , showed enhancement in patient engagement( Mohammadi et al., 2026). The approach will be to keep in mind the access that best suits the current </w:t>
      </w:r>
      <w:proofErr w:type="gramStart"/>
      <w:r w:rsidRPr="002E08FA">
        <w:rPr>
          <w:lang w:val="en-GB"/>
        </w:rPr>
        <w:t>population .</w:t>
      </w:r>
      <w:proofErr w:type="gramEnd"/>
      <w:r w:rsidRPr="002E08FA">
        <w:rPr>
          <w:lang w:val="en-GB"/>
        </w:rPr>
        <w:t xml:space="preserve"> The goal is developing interventions to improve self-management of </w:t>
      </w:r>
      <w:proofErr w:type="gramStart"/>
      <w:r w:rsidRPr="002E08FA">
        <w:rPr>
          <w:lang w:val="en-GB"/>
        </w:rPr>
        <w:t>diabetes .</w:t>
      </w:r>
      <w:proofErr w:type="gramEnd"/>
    </w:p>
    <w:p w:rsidR="002E08FA" w:rsidRPr="002E08FA" w:rsidRDefault="002E08FA" w:rsidP="002E08FA">
      <w:pPr>
        <w:rPr>
          <w:lang w:val="en-GB"/>
        </w:rPr>
      </w:pPr>
      <w:r w:rsidRPr="002E08FA">
        <w:rPr>
          <w:b/>
          <w:bCs/>
          <w:lang w:val="en-GB"/>
        </w:rPr>
        <w:t>Practice Implications</w:t>
      </w:r>
    </w:p>
    <w:p w:rsidR="002E08FA" w:rsidRPr="002E08FA" w:rsidRDefault="002E08FA" w:rsidP="002E08FA">
      <w:pPr>
        <w:rPr>
          <w:lang w:val="en-GB"/>
        </w:rPr>
      </w:pPr>
      <w:r w:rsidRPr="002E08FA">
        <w:rPr>
          <w:lang w:val="en-GB"/>
        </w:rPr>
        <w:t xml:space="preserve">               The evidence obtained from the literature suggest that implementation of family </w:t>
      </w:r>
      <w:proofErr w:type="gramStart"/>
      <w:r w:rsidRPr="002E08FA">
        <w:rPr>
          <w:lang w:val="en-GB"/>
        </w:rPr>
        <w:t>dynamics ,</w:t>
      </w:r>
      <w:proofErr w:type="gramEnd"/>
      <w:r w:rsidRPr="002E08FA">
        <w:rPr>
          <w:lang w:val="en-GB"/>
        </w:rPr>
        <w:t xml:space="preserve"> social group involvement , less time consuming task , access to variable resources with culturally competent understanding  and education delivery all play a rule in obtaining improvements in a self-managed goal . Current environment lacks guidelines or structure in ensuring patient compliance is understood with a diabetes diagnosis. The format is </w:t>
      </w:r>
      <w:proofErr w:type="spellStart"/>
      <w:r w:rsidRPr="002E08FA">
        <w:rPr>
          <w:lang w:val="en-GB"/>
        </w:rPr>
        <w:t>implace</w:t>
      </w:r>
      <w:proofErr w:type="spellEnd"/>
      <w:r w:rsidRPr="002E08FA">
        <w:rPr>
          <w:lang w:val="en-GB"/>
        </w:rPr>
        <w:t xml:space="preserve"> to utilize a questionnaire that does not relate to the rural </w:t>
      </w:r>
      <w:proofErr w:type="gramStart"/>
      <w:r w:rsidRPr="002E08FA">
        <w:rPr>
          <w:lang w:val="en-GB"/>
        </w:rPr>
        <w:t>population .</w:t>
      </w:r>
      <w:proofErr w:type="gramEnd"/>
      <w:r w:rsidRPr="002E08FA">
        <w:rPr>
          <w:lang w:val="en-GB"/>
        </w:rPr>
        <w:t xml:space="preserve"> There is no way to check understanding or identify gaps with </w:t>
      </w:r>
      <w:proofErr w:type="gramStart"/>
      <w:r w:rsidRPr="002E08FA">
        <w:rPr>
          <w:lang w:val="en-GB"/>
        </w:rPr>
        <w:t>noncompliance .</w:t>
      </w:r>
      <w:proofErr w:type="gramEnd"/>
      <w:r w:rsidRPr="002E08FA">
        <w:rPr>
          <w:lang w:val="en-GB"/>
        </w:rPr>
        <w:t xml:space="preserve"> The literature provided a guide to redirect current practice and utilize a group </w:t>
      </w:r>
      <w:proofErr w:type="gramStart"/>
      <w:r w:rsidRPr="002E08FA">
        <w:rPr>
          <w:lang w:val="en-GB"/>
        </w:rPr>
        <w:t>approach ,</w:t>
      </w:r>
      <w:proofErr w:type="gramEnd"/>
      <w:r w:rsidRPr="002E08FA">
        <w:rPr>
          <w:lang w:val="en-GB"/>
        </w:rPr>
        <w:t xml:space="preserve"> peer or clinician led. Initiating this vital change can provide some InSite on the low compliance with managing type 2 DM &gt;7 % A1c.  The literature backed up that after diabetes educational programs were </w:t>
      </w:r>
      <w:proofErr w:type="gramStart"/>
      <w:r w:rsidRPr="002E08FA">
        <w:rPr>
          <w:lang w:val="en-GB"/>
        </w:rPr>
        <w:t>completed ,</w:t>
      </w:r>
      <w:proofErr w:type="gramEnd"/>
      <w:r w:rsidRPr="002E08FA">
        <w:rPr>
          <w:lang w:val="en-GB"/>
        </w:rPr>
        <w:t xml:space="preserve"> participants reported gaining new knowledge and understanding of their diagnosis (</w:t>
      </w:r>
      <w:proofErr w:type="spellStart"/>
      <w:r w:rsidRPr="002E08FA">
        <w:rPr>
          <w:lang w:val="en-GB"/>
        </w:rPr>
        <w:t>Muchiriri</w:t>
      </w:r>
      <w:proofErr w:type="spellEnd"/>
      <w:r w:rsidRPr="002E08FA">
        <w:rPr>
          <w:lang w:val="en-GB"/>
        </w:rPr>
        <w:t xml:space="preserve"> et al., 2024). It is anticipated that the group focused dynamic and access to readily available resources will encourage family participation and in turn produce medical understanding and improving self-management of </w:t>
      </w:r>
      <w:proofErr w:type="gramStart"/>
      <w:r w:rsidRPr="002E08FA">
        <w:rPr>
          <w:lang w:val="en-GB"/>
        </w:rPr>
        <w:t>diabetes .</w:t>
      </w:r>
      <w:proofErr w:type="gramEnd"/>
    </w:p>
    <w:p w:rsidR="002E08FA" w:rsidRPr="002E08FA" w:rsidRDefault="002E08FA" w:rsidP="002E08FA">
      <w:pPr>
        <w:rPr>
          <w:lang w:val="en-GB"/>
        </w:rPr>
      </w:pPr>
      <w:r w:rsidRPr="002E08FA">
        <w:rPr>
          <w:lang w:val="en-GB"/>
        </w:rPr>
        <w:t> </w:t>
      </w:r>
    </w:p>
    <w:p w:rsidR="002E08FA" w:rsidRPr="002E08FA" w:rsidRDefault="002E08FA" w:rsidP="002E08FA">
      <w:pPr>
        <w:rPr>
          <w:lang w:val="en-GB"/>
        </w:rPr>
      </w:pPr>
      <w:r w:rsidRPr="002E08FA">
        <w:rPr>
          <w:lang w:val="en-GB"/>
        </w:rPr>
        <w:t xml:space="preserve">King, D., Miller, C. K., </w:t>
      </w:r>
      <w:proofErr w:type="spellStart"/>
      <w:r w:rsidRPr="002E08FA">
        <w:rPr>
          <w:lang w:val="en-GB"/>
        </w:rPr>
        <w:t>Cheavens</w:t>
      </w:r>
      <w:proofErr w:type="spellEnd"/>
      <w:r w:rsidRPr="002E08FA">
        <w:rPr>
          <w:lang w:val="en-GB"/>
        </w:rPr>
        <w:t>, J. S., &amp; Fujita, K. (2023). Early and slow weight loss responders’ perceptions of an adaptive diabetes prevention trial: A qualitative perspective. Health Education Journal, 82(7), 807–819. https://doi.org/10.1177/00178969231198956</w:t>
      </w:r>
    </w:p>
    <w:p w:rsidR="002E08FA" w:rsidRPr="002E08FA" w:rsidRDefault="002E08FA" w:rsidP="002E08FA">
      <w:pPr>
        <w:rPr>
          <w:lang w:val="en-GB"/>
        </w:rPr>
      </w:pPr>
      <w:r w:rsidRPr="002E08FA">
        <w:rPr>
          <w:lang w:val="en-GB"/>
        </w:rPr>
        <w:t> </w:t>
      </w:r>
    </w:p>
    <w:p w:rsidR="002E08FA" w:rsidRPr="002E08FA" w:rsidRDefault="002E08FA" w:rsidP="002E08FA">
      <w:pPr>
        <w:rPr>
          <w:lang w:val="en-GB"/>
        </w:rPr>
      </w:pPr>
      <w:r w:rsidRPr="002E08FA">
        <w:rPr>
          <w:lang w:val="en-GB"/>
        </w:rPr>
        <w:t>Maina, E. W., Kimani, S., &amp; Mwaura, J. (2025). Peer-led diabetes self-management education and support enhances cardiometabolic markers in adults with type 2 diabetes: A quasi-experimental study. INQUIRY: The Journal of Health Care Organization, Provision, and Financing, 62, 1–14. https://doi.org/10.1177/00469580251390775</w:t>
      </w:r>
    </w:p>
    <w:p w:rsidR="002E08FA" w:rsidRPr="002E08FA" w:rsidRDefault="002E08FA" w:rsidP="002E08FA">
      <w:pPr>
        <w:rPr>
          <w:lang w:val="en-GB"/>
        </w:rPr>
      </w:pPr>
      <w:r w:rsidRPr="002E08FA">
        <w:rPr>
          <w:lang w:val="en-GB"/>
        </w:rPr>
        <w:t xml:space="preserve">Mohammadi, S., </w:t>
      </w:r>
      <w:proofErr w:type="spellStart"/>
      <w:r w:rsidRPr="002E08FA">
        <w:rPr>
          <w:lang w:val="en-GB"/>
        </w:rPr>
        <w:t>Zakerkish</w:t>
      </w:r>
      <w:proofErr w:type="spellEnd"/>
      <w:r w:rsidRPr="002E08FA">
        <w:rPr>
          <w:lang w:val="en-GB"/>
        </w:rPr>
        <w:t xml:space="preserve">, M., </w:t>
      </w:r>
      <w:proofErr w:type="spellStart"/>
      <w:r w:rsidRPr="002E08FA">
        <w:rPr>
          <w:lang w:val="en-GB"/>
        </w:rPr>
        <w:t>Montazeri</w:t>
      </w:r>
      <w:proofErr w:type="spellEnd"/>
      <w:r w:rsidRPr="002E08FA">
        <w:rPr>
          <w:lang w:val="en-GB"/>
        </w:rPr>
        <w:t xml:space="preserve">, A., </w:t>
      </w:r>
      <w:proofErr w:type="spellStart"/>
      <w:r w:rsidRPr="002E08FA">
        <w:rPr>
          <w:lang w:val="en-GB"/>
        </w:rPr>
        <w:t>Bahrami</w:t>
      </w:r>
      <w:proofErr w:type="spellEnd"/>
      <w:r w:rsidRPr="002E08FA">
        <w:rPr>
          <w:lang w:val="en-GB"/>
        </w:rPr>
        <w:t xml:space="preserve">, Z., &amp; </w:t>
      </w:r>
      <w:proofErr w:type="spellStart"/>
      <w:r w:rsidRPr="002E08FA">
        <w:rPr>
          <w:lang w:val="en-GB"/>
        </w:rPr>
        <w:t>Araban</w:t>
      </w:r>
      <w:proofErr w:type="spellEnd"/>
      <w:r w:rsidRPr="002E08FA">
        <w:rPr>
          <w:lang w:val="en-GB"/>
        </w:rPr>
        <w:t>, M. (2026). Development, suitability and comprehensibility of a QR code-enabled educational package to improve self-care practices among patients with type 2 diabetes: A multimethod study in Iran. Health Expectations, 29(3), e70729. https://doi.org/10.1111/hex.70729</w:t>
      </w:r>
    </w:p>
    <w:p w:rsidR="002E08FA" w:rsidRPr="002E08FA" w:rsidRDefault="002E08FA" w:rsidP="002E08FA">
      <w:pPr>
        <w:rPr>
          <w:lang w:val="en-GB"/>
        </w:rPr>
      </w:pPr>
      <w:proofErr w:type="spellStart"/>
      <w:r w:rsidRPr="002E08FA">
        <w:rPr>
          <w:lang w:val="en-GB"/>
        </w:rPr>
        <w:lastRenderedPageBreak/>
        <w:t>Muchiri</w:t>
      </w:r>
      <w:proofErr w:type="spellEnd"/>
      <w:r w:rsidRPr="002E08FA">
        <w:rPr>
          <w:lang w:val="en-GB"/>
        </w:rPr>
        <w:t xml:space="preserve">, J. W., Gericke, G. J., &amp; </w:t>
      </w:r>
      <w:proofErr w:type="spellStart"/>
      <w:r w:rsidRPr="002E08FA">
        <w:rPr>
          <w:lang w:val="en-GB"/>
        </w:rPr>
        <w:t>Rheeder</w:t>
      </w:r>
      <w:proofErr w:type="spellEnd"/>
      <w:r w:rsidRPr="002E08FA">
        <w:rPr>
          <w:lang w:val="en-GB"/>
        </w:rPr>
        <w:t>, P. (2024). Adults living with type 2 diabetes experiences of a randomised adapted diabetes nutrition education programme: A qualitative process evaluation. South African Journal of Clinical Nutrition, 37(2), 77–83. https://doi.org/10.1080/16070658.2023.2295497</w:t>
      </w:r>
    </w:p>
    <w:p w:rsidR="002E08FA" w:rsidRPr="002E08FA" w:rsidRDefault="002E08FA" w:rsidP="002E08FA">
      <w:pPr>
        <w:rPr>
          <w:lang w:val="en-GB"/>
        </w:rPr>
      </w:pPr>
      <w:r w:rsidRPr="002E08FA">
        <w:rPr>
          <w:lang w:val="en-GB"/>
        </w:rPr>
        <w:t xml:space="preserve">Ofosu, S. K., </w:t>
      </w:r>
      <w:proofErr w:type="spellStart"/>
      <w:r w:rsidRPr="002E08FA">
        <w:rPr>
          <w:lang w:val="en-GB"/>
        </w:rPr>
        <w:t>Goumboundi</w:t>
      </w:r>
      <w:proofErr w:type="spellEnd"/>
      <w:r w:rsidRPr="002E08FA">
        <w:rPr>
          <w:lang w:val="en-GB"/>
        </w:rPr>
        <w:t xml:space="preserve">, I. A., </w:t>
      </w:r>
      <w:proofErr w:type="spellStart"/>
      <w:r w:rsidRPr="002E08FA">
        <w:rPr>
          <w:lang w:val="en-GB"/>
        </w:rPr>
        <w:t>Larnyoh</w:t>
      </w:r>
      <w:proofErr w:type="spellEnd"/>
      <w:r w:rsidRPr="002E08FA">
        <w:rPr>
          <w:lang w:val="en-GB"/>
        </w:rPr>
        <w:t xml:space="preserve">, M. T., </w:t>
      </w:r>
      <w:proofErr w:type="spellStart"/>
      <w:r w:rsidRPr="002E08FA">
        <w:rPr>
          <w:lang w:val="en-GB"/>
        </w:rPr>
        <w:t>Afrifa</w:t>
      </w:r>
      <w:proofErr w:type="spellEnd"/>
      <w:r w:rsidRPr="002E08FA">
        <w:rPr>
          <w:lang w:val="en-GB"/>
        </w:rPr>
        <w:t xml:space="preserve">, J., </w:t>
      </w:r>
      <w:proofErr w:type="spellStart"/>
      <w:r w:rsidRPr="002E08FA">
        <w:rPr>
          <w:lang w:val="en-GB"/>
        </w:rPr>
        <w:t>Ordinioha</w:t>
      </w:r>
      <w:proofErr w:type="spellEnd"/>
      <w:r w:rsidRPr="002E08FA">
        <w:rPr>
          <w:lang w:val="en-GB"/>
        </w:rPr>
        <w:t>, B., &amp; Ephraim, R. K. D. (2026). Lifestyle, demographic and clinical correlates of type 2 diabetes mellitus among urban and rural adults: A community-based cross-sectional study. INQUIRY: The Journal of Health Care Organization, Provision, and Financing, 63, 1–14. https://doi.org/10.1177/00469580261471927</w:t>
      </w:r>
    </w:p>
    <w:p w:rsidR="002E08FA" w:rsidRDefault="002E08FA"/>
    <w:p w:rsidR="002E08FA" w:rsidRDefault="002E08FA"/>
    <w:p w:rsidR="002E08FA" w:rsidRDefault="002E08FA"/>
    <w:sectPr w:rsidR="002E08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8FA"/>
    <w:rsid w:val="002E08FA"/>
    <w:rsid w:val="009C190A"/>
    <w:rsid w:val="00A85972"/>
    <w:rsid w:val="00B9358F"/>
    <w:rsid w:val="00FB61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D7CECBB"/>
  <w15:chartTrackingRefBased/>
  <w15:docId w15:val="{6AA3E77E-4E33-2E4A-8F31-F6E8B8E1A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08FA"/>
    <w:rPr>
      <w:color w:val="0563C1" w:themeColor="hyperlink"/>
      <w:u w:val="single"/>
    </w:rPr>
  </w:style>
  <w:style w:type="character" w:styleId="UnresolvedMention">
    <w:name w:val="Unresolved Mention"/>
    <w:basedOn w:val="DefaultParagraphFont"/>
    <w:uiPriority w:val="99"/>
    <w:semiHidden/>
    <w:unhideWhenUsed/>
    <w:rsid w:val="002E08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9423133">
      <w:bodyDiv w:val="1"/>
      <w:marLeft w:val="0"/>
      <w:marRight w:val="0"/>
      <w:marTop w:val="0"/>
      <w:marBottom w:val="0"/>
      <w:divBdr>
        <w:top w:val="none" w:sz="0" w:space="0" w:color="auto"/>
        <w:left w:val="none" w:sz="0" w:space="0" w:color="auto"/>
        <w:bottom w:val="none" w:sz="0" w:space="0" w:color="auto"/>
        <w:right w:val="none" w:sz="0" w:space="0" w:color="auto"/>
      </w:divBdr>
    </w:div>
    <w:div w:id="662853313">
      <w:bodyDiv w:val="1"/>
      <w:marLeft w:val="0"/>
      <w:marRight w:val="0"/>
      <w:marTop w:val="0"/>
      <w:marBottom w:val="0"/>
      <w:divBdr>
        <w:top w:val="none" w:sz="0" w:space="0" w:color="auto"/>
        <w:left w:val="none" w:sz="0" w:space="0" w:color="auto"/>
        <w:bottom w:val="none" w:sz="0" w:space="0" w:color="auto"/>
        <w:right w:val="none" w:sz="0" w:space="0" w:color="auto"/>
      </w:divBdr>
    </w:div>
    <w:div w:id="1303392576">
      <w:bodyDiv w:val="1"/>
      <w:marLeft w:val="0"/>
      <w:marRight w:val="0"/>
      <w:marTop w:val="0"/>
      <w:marBottom w:val="0"/>
      <w:divBdr>
        <w:top w:val="none" w:sz="0" w:space="0" w:color="auto"/>
        <w:left w:val="none" w:sz="0" w:space="0" w:color="auto"/>
        <w:bottom w:val="none" w:sz="0" w:space="0" w:color="auto"/>
        <w:right w:val="none" w:sz="0" w:space="0" w:color="auto"/>
      </w:divBdr>
    </w:div>
    <w:div w:id="1441415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4088/JCP.21r14034" TargetMode="External"/><Relationship Id="rId4" Type="http://schemas.openxmlformats.org/officeDocument/2006/relationships/hyperlink" Target="https://doi.org/10.1016/j.jcjq.2023.01.0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4039</Words>
  <Characters>23024</Characters>
  <Application>Microsoft Office Word</Application>
  <DocSecurity>0</DocSecurity>
  <Lines>191</Lines>
  <Paragraphs>54</Paragraphs>
  <ScaleCrop>false</ScaleCrop>
  <Company/>
  <LinksUpToDate>false</LinksUpToDate>
  <CharactersWithSpaces>27009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author</cp:lastModifiedBy>
  <cp:revision>1</cp:revision>
  <dcterms:created xsi:type="dcterms:W3CDTF">2026-09-26T13:36:00Z</dcterms:created>
  <dcterms:modified xsi:type="dcterms:W3CDTF">2026-09-26T13:44:00Z</dcterms:modified>
</cp:coreProperties>
</file>